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D7B5" w14:textId="77777777" w:rsidR="00100B45" w:rsidRDefault="00000000">
      <w:pPr>
        <w:spacing w:after="60"/>
      </w:pPr>
      <w:r>
        <w:rPr>
          <w:b/>
          <w:bCs/>
          <w:sz w:val="26"/>
          <w:szCs w:val="26"/>
        </w:rPr>
        <w:t>INTERNAL MEMORANDUM TO STAFF</w:t>
      </w:r>
    </w:p>
    <w:p w14:paraId="54DEED41" w14:textId="77777777" w:rsidR="00100B45" w:rsidRDefault="00000000">
      <w:pPr>
        <w:spacing w:after="60"/>
      </w:pPr>
      <w:r>
        <w:rPr>
          <w:b/>
          <w:bCs/>
          <w:sz w:val="28"/>
          <w:szCs w:val="28"/>
        </w:rPr>
        <w:t>The TokenCap Token Engine — Role within TCM and Database Considerations Across the Four Operational Aspects of the TCM Website</w:t>
      </w:r>
    </w:p>
    <w:p w14:paraId="0740C0CA" w14:textId="77777777" w:rsidR="00100B45" w:rsidRDefault="00000000">
      <w:pPr>
        <w:spacing w:after="240"/>
      </w:pPr>
      <w:r>
        <w:rPr>
          <w:i/>
          <w:iCs/>
        </w:rPr>
        <w:t>Companion to the TCT Implementation Memorandum (Rev 2) and input to the forthcoming TCNWFT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00B45" w14:paraId="32E39A1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5A30C79E" w14:textId="77777777" w:rsidR="00100B45" w:rsidRDefault="00000000">
            <w:pPr>
              <w:spacing w:after="60" w:line="280" w:lineRule="auto"/>
            </w:pPr>
            <w:r>
              <w:rPr>
                <w:b/>
                <w:bCs/>
              </w:rPr>
              <w:t>Field</w:t>
            </w:r>
          </w:p>
        </w:tc>
        <w:tc>
          <w:tcPr>
            <w:tcW w:w="67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1C66E81E" w14:textId="77777777" w:rsidR="00100B45" w:rsidRDefault="00000000">
            <w:pPr>
              <w:spacing w:after="60" w:line="280" w:lineRule="auto"/>
            </w:pPr>
            <w:r>
              <w:rPr>
                <w:b/>
                <w:bCs/>
              </w:rPr>
              <w:t>Value</w:t>
            </w:r>
          </w:p>
        </w:tc>
      </w:tr>
      <w:tr w:rsidR="00100B45" w14:paraId="5C72253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9A6FD7" w14:textId="77777777" w:rsidR="00100B45" w:rsidRDefault="00000000">
            <w:pPr>
              <w:spacing w:after="60" w:line="280" w:lineRule="auto"/>
            </w:pPr>
            <w:r>
              <w:t>Prepared for</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17A00" w14:textId="77777777" w:rsidR="00100B45" w:rsidRDefault="00000000">
            <w:pPr>
              <w:spacing w:after="60" w:line="280" w:lineRule="auto"/>
            </w:pPr>
            <w:r>
              <w:t>2678 Holdings LLC — TCM Operations, Engineering, Compliance, Commercial</w:t>
            </w:r>
          </w:p>
        </w:tc>
      </w:tr>
      <w:tr w:rsidR="00100B45" w14:paraId="6AA17CF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BB429" w14:textId="77777777" w:rsidR="00100B45" w:rsidRDefault="00000000">
            <w:pPr>
              <w:spacing w:after="60" w:line="280" w:lineRule="auto"/>
            </w:pPr>
            <w:r>
              <w:t>Subject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0B4D4E" w14:textId="77777777" w:rsidR="00100B45" w:rsidRDefault="00000000">
            <w:pPr>
              <w:spacing w:after="60" w:line="280" w:lineRule="auto"/>
            </w:pPr>
            <w:r>
              <w:t>Role of the TokenCap Token Engine within TCM, and database considerations across the four operational aspects of the TCM website</w:t>
            </w:r>
          </w:p>
        </w:tc>
      </w:tr>
      <w:tr w:rsidR="00100B45" w14:paraId="4228F2A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4391C1" w14:textId="77777777" w:rsidR="00100B45" w:rsidRDefault="00000000">
            <w:pPr>
              <w:spacing w:after="60" w:line="280" w:lineRule="auto"/>
            </w:pPr>
            <w:r>
              <w:t>Companion artifacts</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B6F48" w14:textId="77777777" w:rsidR="00100B45" w:rsidRDefault="00000000">
            <w:pPr>
              <w:spacing w:after="60" w:line="280" w:lineRule="auto"/>
            </w:pPr>
            <w:r>
              <w:t>TCT Implementation Memorandum (Rev 2); TCT Enterprise Architecture and Sync Protocol; Chain-Agnostic Abstraction Layer Spec; forthcoming TokenCap Network Workflow Token (TCNWFT) design</w:t>
            </w:r>
          </w:p>
        </w:tc>
      </w:tr>
      <w:tr w:rsidR="00100B45" w14:paraId="6AD41AD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F1ADCF" w14:textId="77777777" w:rsidR="00100B45" w:rsidRDefault="00000000">
            <w:pPr>
              <w:spacing w:after="60" w:line="280" w:lineRule="auto"/>
            </w:pPr>
            <w:r>
              <w:t>Architectural rule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5C06E" w14:textId="77777777" w:rsidR="00100B45" w:rsidRDefault="00000000">
            <w:pPr>
              <w:spacing w:after="60" w:line="280" w:lineRule="auto"/>
            </w:pPr>
            <w:r>
              <w:t>TCT authenticates and reports; TCN executes; off-chain entities determine, hold, and intermediate value. The TokenCap Token Engine is the TCM-side machinery that operationalizes that rule.</w:t>
            </w:r>
          </w:p>
        </w:tc>
      </w:tr>
      <w:tr w:rsidR="00100B45" w14:paraId="0E4CAE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5C27A" w14:textId="77777777" w:rsidR="00100B45" w:rsidRDefault="00000000">
            <w:pPr>
              <w:spacing w:after="60" w:line="280" w:lineRule="auto"/>
            </w:pPr>
            <w:r>
              <w:t>Status</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D2BA94" w14:textId="77777777" w:rsidR="00100B45" w:rsidRDefault="00000000">
            <w:pPr>
              <w:spacing w:after="60" w:line="280" w:lineRule="auto"/>
            </w:pPr>
            <w:r>
              <w:t>Internal staff memo — planning baseline</w:t>
            </w:r>
          </w:p>
        </w:tc>
      </w:tr>
    </w:tbl>
    <w:p w14:paraId="2EBE5DAD" w14:textId="77777777" w:rsidR="00100B45" w:rsidRDefault="00100B4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0B45" w14:paraId="58CFDAFB" w14:textId="77777777">
        <w:tblPrEx>
          <w:tblCellMar>
            <w:top w:w="0" w:type="dxa"/>
            <w:bottom w:w="0" w:type="dxa"/>
          </w:tblCellMar>
        </w:tblPrEx>
        <w:trPr>
          <w:tblHeader/>
        </w:trPr>
        <w:tc>
          <w:tcPr>
            <w:tcW w:w="93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581C82B9" w14:textId="77777777" w:rsidR="00100B45" w:rsidRDefault="00000000">
            <w:pPr>
              <w:spacing w:after="60" w:line="280" w:lineRule="auto"/>
            </w:pPr>
            <w:r>
              <w:rPr>
                <w:b/>
                <w:bCs/>
              </w:rPr>
              <w:t>Working definition</w:t>
            </w:r>
          </w:p>
        </w:tc>
      </w:tr>
      <w:tr w:rsidR="00100B45" w14:paraId="527B56F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0BEFA" w14:textId="77777777" w:rsidR="00100B45" w:rsidRDefault="00000000">
            <w:pPr>
              <w:spacing w:after="100" w:line="300" w:lineRule="auto"/>
            </w:pPr>
            <w:r>
              <w:rPr>
                <w:b/>
                <w:bCs/>
              </w:rPr>
              <w:t xml:space="preserve">The TokenCap Token Engine </w:t>
            </w:r>
            <w:r>
              <w:t>is the operational kernel inside TCM that implements, runs, and governs the TCT lifecycle end-to-end. It is the set of services, smart contracts, role-controlled keys, schemas, pipelines, and mirrored data stores that make a TCT a live, authoritative credential rather than a paper specification. The storefront sells access to it; the post-purchase operations feed it; the participant and TCN systems consume from it. The Engine is what “TCM the company” actually runs.</w:t>
            </w:r>
          </w:p>
        </w:tc>
      </w:tr>
    </w:tbl>
    <w:p w14:paraId="60C3E28C" w14:textId="77777777" w:rsidR="00100B45" w:rsidRDefault="00000000">
      <w:pPr>
        <w:pStyle w:val="Heading1"/>
      </w:pPr>
      <w:r>
        <w:t>1. Purpose and framing</w:t>
      </w:r>
    </w:p>
    <w:p w14:paraId="55D70420" w14:textId="77777777" w:rsidR="00100B45" w:rsidRDefault="00000000">
      <w:pPr>
        <w:spacing w:after="120" w:line="300" w:lineRule="auto"/>
      </w:pPr>
      <w:r>
        <w:t xml:space="preserve">With the TCT design in near-final form and the TCNWFT design about to begin, it is worth pausing to make explicit the operational picture that all of this design work is building toward. The TCT is a token; the TokenCap Token Engine is the machinery that produces, manages, and reports on that token; and the TCM website is the user-facing surface through which we sell access to it and run the lifecycle activities that surround it. These are three different things that staff are sometimes asked to discuss as if </w:t>
      </w:r>
      <w:r>
        <w:lastRenderedPageBreak/>
        <w:t>they were one, and the conflation makes both engineering planning and commercial planning harder than they need to be.</w:t>
      </w:r>
    </w:p>
    <w:p w14:paraId="34C635B7" w14:textId="77777777" w:rsidR="00100B45" w:rsidRDefault="00000000">
      <w:pPr>
        <w:spacing w:after="120" w:line="300" w:lineRule="auto"/>
      </w:pPr>
      <w:r>
        <w:t>This memo separates them deliberately and then puts them back together. It treats the TCM website as having four operational aspects, defines each, locates the TokenCap Token Engine inside that four-part frame, and ends with a consolidated view of the database considerations that cut across all four. The intent is not to add new architecture — the Rev 2 implementation memo already does that — but to give every staff function a shared mental model of where their work fits and what data lives where.</w:t>
      </w:r>
    </w:p>
    <w:p w14:paraId="33076B26" w14:textId="77777777" w:rsidR="00100B45" w:rsidRDefault="00000000">
      <w:pPr>
        <w:pStyle w:val="Heading1"/>
      </w:pPr>
      <w:r>
        <w:t>2. The four operational aspects of the TCM website</w:t>
      </w:r>
    </w:p>
    <w:p w14:paraId="3EA65716" w14:textId="77777777" w:rsidR="00100B45" w:rsidRDefault="00000000">
      <w:pPr>
        <w:spacing w:after="120" w:line="300" w:lineRule="auto"/>
      </w:pPr>
      <w:r>
        <w:t>The TCM website is not a single application. It is a coherent customer-facing presentation over four operationally distinct concerns. Treating them as one is convenient for marketing copy and dangerous for engineering. The four aspects, in the order the user encounters them and roughly in the order the data flows, are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2573"/>
        <w:gridCol w:w="5193"/>
      </w:tblGrid>
      <w:tr w:rsidR="00100B45" w14:paraId="183E2F1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E67CF5F" w14:textId="77777777" w:rsidR="00100B45" w:rsidRDefault="00000000">
            <w:pPr>
              <w:spacing w:after="60" w:line="280" w:lineRule="auto"/>
            </w:pPr>
            <w:r>
              <w:rPr>
                <w:b/>
                <w:bCs/>
              </w:rPr>
              <w:t>Aspect</w:t>
            </w:r>
          </w:p>
        </w:tc>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3F8B23F6" w14:textId="77777777" w:rsidR="00100B45" w:rsidRDefault="00000000">
            <w:pPr>
              <w:spacing w:after="60" w:line="280" w:lineRule="auto"/>
            </w:pPr>
            <w:r>
              <w:rPr>
                <w:b/>
                <w:bCs/>
              </w:rPr>
              <w:t>What it is</w:t>
            </w:r>
          </w:p>
        </w:tc>
        <w:tc>
          <w:tcPr>
            <w:tcW w:w="52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57EF73E6" w14:textId="77777777" w:rsidR="00100B45" w:rsidRDefault="00000000">
            <w:pPr>
              <w:spacing w:after="60" w:line="280" w:lineRule="auto"/>
            </w:pPr>
            <w:r>
              <w:rPr>
                <w:b/>
                <w:bCs/>
              </w:rPr>
              <w:t>What it owns</w:t>
            </w:r>
          </w:p>
        </w:tc>
      </w:tr>
      <w:tr w:rsidR="00100B45" w14:paraId="7655C4F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A1A52E" w14:textId="77777777" w:rsidR="00100B45" w:rsidRDefault="00000000">
            <w:pPr>
              <w:spacing w:after="60" w:line="280" w:lineRule="auto"/>
            </w:pPr>
            <w:r>
              <w:t>1. The TCT</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A9A0B" w14:textId="77777777" w:rsidR="00100B45" w:rsidRDefault="00000000">
            <w:pPr>
              <w:spacing w:after="60" w:line="280" w:lineRule="auto"/>
            </w:pPr>
            <w:r>
              <w:t>The credential artifact — the token itself.</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048B04" w14:textId="77777777" w:rsidR="00100B45" w:rsidRDefault="00000000">
            <w:pPr>
              <w:spacing w:after="60" w:line="280" w:lineRule="auto"/>
            </w:pPr>
            <w:r>
              <w:t>On-chain credential record, identity binding hash, status, compliance metadata, jurisdiction, claims version, outcome references. Defined fully in the TCT Implementation Memo §5. The TCM website does not “store” the TCT; it surfaces and operates on it.</w:t>
            </w:r>
          </w:p>
        </w:tc>
      </w:tr>
      <w:tr w:rsidR="00100B45" w14:paraId="0C04BA9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1E729" w14:textId="77777777" w:rsidR="00100B45" w:rsidRDefault="00000000">
            <w:pPr>
              <w:spacing w:after="60" w:line="280" w:lineRule="auto"/>
            </w:pPr>
            <w:r>
              <w:t>2. The TokenCap Token Engine</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DE8FC" w14:textId="77777777" w:rsidR="00100B45" w:rsidRDefault="00000000">
            <w:pPr>
              <w:spacing w:after="60" w:line="280" w:lineRule="auto"/>
            </w:pPr>
            <w:r>
              <w:t>The TCM-side operational kernel for TCT lifecycle.</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9FE443" w14:textId="77777777" w:rsidR="00100B45" w:rsidRDefault="00000000">
            <w:pPr>
              <w:spacing w:after="60" w:line="280" w:lineRule="auto"/>
            </w:pPr>
            <w:r>
              <w:t>Smart-contract package (TCTCredential + TCTOutcomeRegistry), role-controlled signing keys, the chain abstraction adapters, the finality translation and synchronization pipeline, the canonical event schema, the credential-state mirror, the audit log, the controlled-vocabulary registry, and the internal APIs through which everything else in TCM talks to TCT.</w:t>
            </w:r>
          </w:p>
        </w:tc>
      </w:tr>
      <w:tr w:rsidR="00100B45" w14:paraId="17241A1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768A3F" w14:textId="77777777" w:rsidR="00100B45" w:rsidRDefault="00000000">
            <w:pPr>
              <w:spacing w:after="60" w:line="280" w:lineRule="auto"/>
            </w:pPr>
            <w:r>
              <w:t>3. Commercial merchandising</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A25B7E" w14:textId="77777777" w:rsidR="00100B45" w:rsidRDefault="00000000">
            <w:pPr>
              <w:spacing w:after="60" w:line="280" w:lineRule="auto"/>
            </w:pPr>
            <w:r>
              <w:t>The storefront. The activity by which project listers (or their participants) purchase TCTs.</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CCAFD" w14:textId="77777777" w:rsidR="00100B45" w:rsidRDefault="00000000">
            <w:pPr>
              <w:spacing w:after="60" w:line="280" w:lineRule="auto"/>
            </w:pPr>
            <w:r>
              <w:t>Catalog of credential cohorts on offer, project-lister accounts, pricing, orders, invoices, payment-rail integration, terms of sale and participation agreements, marketing pages, and the checkout flow that ends in a fulfilment instruction to the Engine.</w:t>
            </w:r>
          </w:p>
        </w:tc>
      </w:tr>
      <w:tr w:rsidR="00100B45" w14:paraId="1E0422E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89C98" w14:textId="77777777" w:rsidR="00100B45" w:rsidRDefault="00000000">
            <w:pPr>
              <w:spacing w:after="60" w:line="280" w:lineRule="auto"/>
            </w:pPr>
            <w:r>
              <w:t>4. Post-purchase operations</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6C69AE" w14:textId="77777777" w:rsidR="00100B45" w:rsidRDefault="00000000">
            <w:pPr>
              <w:spacing w:after="60" w:line="280" w:lineRule="auto"/>
            </w:pPr>
            <w:r>
              <w:t xml:space="preserve">Everything that happens between a sale and a </w:t>
            </w:r>
            <w:r>
              <w:lastRenderedPageBreak/>
              <w:t>working, continuously updated credential.</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F18B9" w14:textId="77777777" w:rsidR="00100B45" w:rsidRDefault="00000000">
            <w:pPr>
              <w:spacing w:after="60" w:line="280" w:lineRule="auto"/>
            </w:pPr>
            <w:r>
              <w:lastRenderedPageBreak/>
              <w:t xml:space="preserve">KYC/AML vetting, sanctions screening, wallet-binding challenge, permissioning and policy evaluation, mint and activation orchestration, ongoing compliance </w:t>
            </w:r>
            <w:r>
              <w:lastRenderedPageBreak/>
              <w:t>review, suspension and revocation workflow, customer support, and the consumption of TCN outcome data for refresh of participant-visible outcome references.</w:t>
            </w:r>
          </w:p>
        </w:tc>
      </w:tr>
    </w:tbl>
    <w:p w14:paraId="09699090" w14:textId="77777777" w:rsidR="00C24FBF" w:rsidRDefault="00C24FBF">
      <w:pPr>
        <w:spacing w:after="120" w:line="300" w:lineRule="auto"/>
      </w:pPr>
    </w:p>
    <w:p w14:paraId="1FBB225A" w14:textId="2B702C8B" w:rsidR="00100B45" w:rsidRDefault="00000000">
      <w:pPr>
        <w:spacing w:after="120" w:line="300" w:lineRule="auto"/>
      </w:pPr>
      <w:r>
        <w:t>The first aspect is a thing; the other three are activities. The thing is produced and maintained by aspect (2), purchased through aspect (3), and brought into and kept in working order by aspect (4). All four are presented through one TCM website, but they are run by different services, governed by different roles, and — as §8 will make clear — backed by different databases with different sensitivity profiles.</w:t>
      </w:r>
    </w:p>
    <w:p w14:paraId="69219FE6" w14:textId="77777777" w:rsidR="00100B45" w:rsidRDefault="00000000">
      <w:pPr>
        <w:pStyle w:val="Heading1"/>
      </w:pPr>
      <w:r>
        <w:t>3. The TokenCap Token Engine in detail</w:t>
      </w:r>
    </w:p>
    <w:p w14:paraId="4A002627" w14:textId="77777777" w:rsidR="00100B45" w:rsidRDefault="00000000">
      <w:pPr>
        <w:pStyle w:val="Heading2"/>
      </w:pPr>
      <w:r>
        <w:t>3.1 What the Engine is, in one sentence</w:t>
      </w:r>
    </w:p>
    <w:p w14:paraId="02C479B8" w14:textId="77777777" w:rsidR="00100B45" w:rsidRDefault="00000000">
      <w:pPr>
        <w:spacing w:after="120" w:line="300" w:lineRule="auto"/>
      </w:pPr>
      <w:r>
        <w:t>The TokenCap Token Engine is the running implementation of the TCT specification — the contracts, services, schemas, keys, and pipelines that together turn the paper design of a non-transferable, identity-bound, permissioned credential into an operating system. Where the TCT Implementation Memo describes the credential, the Engine is what holds, mints, updates, revokes, synchronizes, and reports on it.</w:t>
      </w:r>
    </w:p>
    <w:p w14:paraId="467E2943" w14:textId="77777777" w:rsidR="00100B45" w:rsidRDefault="00000000">
      <w:pPr>
        <w:pStyle w:val="Heading2"/>
      </w:pPr>
      <w:r>
        <w:t>3.2 What the Engine is not</w:t>
      </w:r>
    </w:p>
    <w:p w14:paraId="7101C9A1" w14:textId="77777777" w:rsidR="00100B45" w:rsidRDefault="00000000">
      <w:pPr>
        <w:pStyle w:val="ListParagraph"/>
        <w:numPr>
          <w:ilvl w:val="0"/>
          <w:numId w:val="2"/>
        </w:numPr>
        <w:spacing w:after="80" w:line="300" w:lineRule="auto"/>
      </w:pPr>
      <w:r>
        <w:rPr>
          <w:b/>
          <w:bCs/>
        </w:rPr>
        <w:t xml:space="preserve">Not the storefront. </w:t>
      </w:r>
      <w:r>
        <w:t>The Engine has no notion of price, no shopping cart, no checkout. It receives fulfilment instructions from the merchandising layer; it does not negotiate them.</w:t>
      </w:r>
    </w:p>
    <w:p w14:paraId="6CA1119B" w14:textId="77777777" w:rsidR="00100B45" w:rsidRDefault="00000000">
      <w:pPr>
        <w:pStyle w:val="ListParagraph"/>
        <w:numPr>
          <w:ilvl w:val="0"/>
          <w:numId w:val="2"/>
        </w:numPr>
        <w:spacing w:after="80" w:line="300" w:lineRule="auto"/>
      </w:pPr>
      <w:r>
        <w:rPr>
          <w:b/>
          <w:bCs/>
        </w:rPr>
        <w:t xml:space="preserve">Not the KYC system. </w:t>
      </w:r>
      <w:r>
        <w:t>The Engine consumes a Verified / Pending / Failed / Restricted determination produced by the KYC workflow; it does not perform identity verification itself.</w:t>
      </w:r>
    </w:p>
    <w:p w14:paraId="7A2D6BB4" w14:textId="77777777" w:rsidR="00100B45" w:rsidRDefault="00000000">
      <w:pPr>
        <w:pStyle w:val="ListParagraph"/>
        <w:numPr>
          <w:ilvl w:val="0"/>
          <w:numId w:val="2"/>
        </w:numPr>
        <w:spacing w:after="80" w:line="300" w:lineRule="auto"/>
      </w:pPr>
      <w:r>
        <w:rPr>
          <w:b/>
          <w:bCs/>
        </w:rPr>
        <w:t xml:space="preserve">Not the TCN execution layer. </w:t>
      </w:r>
      <w:r>
        <w:t>The Engine listens to TCN events through the abstraction layer and writes outcome references; it does not run workflow logic, hold custody, or determine value.</w:t>
      </w:r>
    </w:p>
    <w:p w14:paraId="3B89D718" w14:textId="77777777" w:rsidR="00100B45" w:rsidRDefault="00000000">
      <w:pPr>
        <w:pStyle w:val="ListParagraph"/>
        <w:numPr>
          <w:ilvl w:val="0"/>
          <w:numId w:val="2"/>
        </w:numPr>
        <w:spacing w:after="80" w:line="300" w:lineRule="auto"/>
      </w:pPr>
      <w:r>
        <w:rPr>
          <w:b/>
          <w:bCs/>
        </w:rPr>
        <w:t xml:space="preserve">Not the analytics layer. </w:t>
      </w:r>
      <w:r>
        <w:t>The Engine produces an approved, pseudonymized feed; TCA or any successor entity consumes it. The Engine is upstream of analytics, not part of it.</w:t>
      </w:r>
    </w:p>
    <w:p w14:paraId="320D938E" w14:textId="08950697" w:rsidR="00100B45" w:rsidRDefault="00000000">
      <w:pPr>
        <w:pStyle w:val="ListParagraph"/>
        <w:numPr>
          <w:ilvl w:val="0"/>
          <w:numId w:val="2"/>
        </w:numPr>
        <w:spacing w:after="80" w:line="300" w:lineRule="auto"/>
      </w:pPr>
      <w:r>
        <w:rPr>
          <w:b/>
          <w:bCs/>
        </w:rPr>
        <w:t xml:space="preserve">Not the document custodian. </w:t>
      </w:r>
      <w:r>
        <w:t xml:space="preserve">Off-chain formation and ownership documents </w:t>
      </w:r>
      <w:r w:rsidR="00C24FBF">
        <w:t xml:space="preserve">may be </w:t>
      </w:r>
      <w:r>
        <w:t>held in a separate TCM custody store, addressable from the Engine by opaque reference but not stored inside it.</w:t>
      </w:r>
    </w:p>
    <w:p w14:paraId="4DE26E46" w14:textId="77777777" w:rsidR="00100B45" w:rsidRDefault="00000000">
      <w:pPr>
        <w:pStyle w:val="Heading2"/>
      </w:pPr>
      <w:r>
        <w:t>3.3 What the Engine does contain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00B45" w14:paraId="64FCB6F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2AD5C69" w14:textId="77777777" w:rsidR="00100B45" w:rsidRDefault="00000000">
            <w:pPr>
              <w:spacing w:after="60" w:line="280" w:lineRule="auto"/>
            </w:pPr>
            <w:r>
              <w:rPr>
                <w:b/>
                <w:bCs/>
              </w:rPr>
              <w:lastRenderedPageBreak/>
              <w:t>Engine component</w:t>
            </w:r>
          </w:p>
        </w:tc>
        <w:tc>
          <w:tcPr>
            <w:tcW w:w="69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4FBEC79D" w14:textId="77777777" w:rsidR="00100B45" w:rsidRDefault="00000000">
            <w:pPr>
              <w:spacing w:after="60" w:line="280" w:lineRule="auto"/>
            </w:pPr>
            <w:r>
              <w:rPr>
                <w:b/>
                <w:bCs/>
              </w:rPr>
              <w:t>Role</w:t>
            </w:r>
          </w:p>
        </w:tc>
      </w:tr>
      <w:tr w:rsidR="00100B45" w14:paraId="0592F1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0405E9" w14:textId="77777777" w:rsidR="00100B45" w:rsidRDefault="00000000">
            <w:pPr>
              <w:spacing w:after="60" w:line="280" w:lineRule="auto"/>
            </w:pPr>
            <w:r>
              <w:t>Contract package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38FDE" w14:textId="77777777" w:rsidR="00100B45" w:rsidRDefault="00000000">
            <w:pPr>
              <w:spacing w:after="60" w:line="280" w:lineRule="auto"/>
            </w:pPr>
            <w:r>
              <w:t>TCTCredential and TCTOutcomeRegistry on the active production network, with reserved ID ranges per TCT Implementation Memo §4.2. The contracts are the on-chain face of the Engine; everything else in the Engine is the off-chain machinery that drives and mirrors them.</w:t>
            </w:r>
          </w:p>
        </w:tc>
      </w:tr>
      <w:tr w:rsidR="00100B45" w14:paraId="1A2724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4716E" w14:textId="77777777" w:rsidR="00100B45" w:rsidRDefault="00000000">
            <w:pPr>
              <w:spacing w:after="60" w:line="280" w:lineRule="auto"/>
            </w:pPr>
            <w:r>
              <w:t>Role-controlled signing services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C087D0" w14:textId="77777777" w:rsidR="00100B45" w:rsidRDefault="00000000">
            <w:pPr>
              <w:spacing w:after="60" w:line="280" w:lineRule="auto"/>
            </w:pPr>
            <w:r>
              <w:t>Hot and cold signers backing DEFAULT_ADMIN_ROLE, ISSUER_ROLE, COMPLIANCE_ROLE, REVOCATION_ROLE_TCM, REVOCATION_ROLE_TCN, SYNC_ROLE, PAUSER_ROLE, and URI_ROLE. Key custody is segregated by function; no human controls more than one role's signer.</w:t>
            </w:r>
          </w:p>
        </w:tc>
      </w:tr>
      <w:tr w:rsidR="00100B45" w14:paraId="23F15B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9AEB0" w14:textId="77777777" w:rsidR="00100B45" w:rsidRDefault="00000000">
            <w:pPr>
              <w:spacing w:after="60" w:line="280" w:lineRule="auto"/>
            </w:pPr>
            <w:r>
              <w:t>Chain abstraction adapters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9F7FAA" w14:textId="77777777" w:rsidR="00100B45" w:rsidRDefault="00000000">
            <w:pPr>
              <w:spacing w:after="60" w:line="280" w:lineRule="auto"/>
            </w:pPr>
            <w:r>
              <w:t>One adapter per supported network, each implementing the common adapter interface defined in the Chain-Agnostic Abstraction Layer Spec §4.1. The adapters are the only Engine components that may contain chain-specific code; everything above them consumes canonical records.</w:t>
            </w:r>
          </w:p>
        </w:tc>
      </w:tr>
      <w:tr w:rsidR="00100B45" w14:paraId="7409FB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51EBF0" w14:textId="77777777" w:rsidR="00100B45" w:rsidRDefault="00000000">
            <w:pPr>
              <w:spacing w:after="60" w:line="280" w:lineRule="auto"/>
            </w:pPr>
            <w:r>
              <w:t>Finality translation 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54D79" w14:textId="77777777" w:rsidR="00100B45" w:rsidRDefault="00000000">
            <w:pPr>
              <w:spacing w:after="60" w:line="280" w:lineRule="auto"/>
            </w:pPr>
            <w:r>
              <w:t>Promotes events through the Observed → Soft Final → Operational Final → Audit Final state machine, per the abstraction layer §4.3. The Engine never writes a finalized outcome reference until Audit Final is reached under approved policy.</w:t>
            </w:r>
          </w:p>
        </w:tc>
      </w:tr>
      <w:tr w:rsidR="00100B45" w14:paraId="5803B5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FDFC67" w14:textId="77777777" w:rsidR="00100B45" w:rsidRDefault="00000000">
            <w:pPr>
              <w:spacing w:after="60" w:line="280" w:lineRule="auto"/>
            </w:pPr>
            <w:r>
              <w:t>Canonical event normalizer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C8C393" w14:textId="77777777" w:rsidR="00100B45" w:rsidRDefault="00000000">
            <w:pPr>
              <w:spacing w:after="60" w:line="280" w:lineRule="auto"/>
            </w:pPr>
            <w:r>
              <w:t>Deterministically serializes TCN events, computes the event_hash, validates result_type and result_subtype against the controlled vocabulary, and rejects malformed records before they reach the registry.</w:t>
            </w:r>
          </w:p>
        </w:tc>
      </w:tr>
      <w:tr w:rsidR="00100B45" w14:paraId="32116C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4A1980" w14:textId="77777777" w:rsidR="00100B45" w:rsidRDefault="00000000">
            <w:pPr>
              <w:spacing w:after="60" w:line="280" w:lineRule="auto"/>
            </w:pPr>
            <w:r>
              <w:t>Outcome sync gateway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1060A" w14:textId="77777777" w:rsidR="00100B45" w:rsidRDefault="00000000">
            <w:pPr>
              <w:spacing w:after="60" w:line="280" w:lineRule="auto"/>
            </w:pPr>
            <w:r>
              <w:t>Performs the idempotency check on (event_id, event_hash), maps execution-layer pseudonyms to credential-layer participant identifiers, and calls TCTOutcomeRegistry under SYNC_ROLE.</w:t>
            </w:r>
          </w:p>
        </w:tc>
      </w:tr>
      <w:tr w:rsidR="00100B45" w14:paraId="33C59FF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7C2D2F" w14:textId="77777777" w:rsidR="00100B45" w:rsidRDefault="00000000">
            <w:pPr>
              <w:spacing w:after="60" w:line="280" w:lineRule="auto"/>
            </w:pPr>
            <w:r>
              <w:t>Credential-state mirror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DE573C" w14:textId="77777777" w:rsidR="00100B45" w:rsidRDefault="00000000">
            <w:pPr>
              <w:spacing w:after="60" w:line="280" w:lineRule="auto"/>
            </w:pPr>
            <w:r>
              <w:t>The off-chain authoritative read model of credential state. Every on-chain mutation is mirrored here with a refreshed audit_root_hash; every TCM API read serves from this mirror, not from RPC. The mirror is the source of truth for application reads; the chain is the source of truth for audit.</w:t>
            </w:r>
          </w:p>
        </w:tc>
      </w:tr>
      <w:tr w:rsidR="00100B45" w14:paraId="064A5B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96BAA5" w14:textId="77777777" w:rsidR="00100B45" w:rsidRDefault="00000000">
            <w:pPr>
              <w:spacing w:after="60" w:line="280" w:lineRule="auto"/>
            </w:pPr>
            <w:r>
              <w:t>Audit log 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325B5" w14:textId="77777777" w:rsidR="00100B45" w:rsidRDefault="00000000">
            <w:pPr>
              <w:spacing w:after="60" w:line="280" w:lineRule="auto"/>
            </w:pPr>
            <w:r>
              <w:t>Tamper-evident append-only log of every issuance, role grant, status change, synchronization write, and exception. A divergence between an on-chain event and the corresponding audit entry is a Sev-1 incident.</w:t>
            </w:r>
          </w:p>
        </w:tc>
      </w:tr>
      <w:tr w:rsidR="00100B45" w14:paraId="79F8C7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37503" w14:textId="77777777" w:rsidR="00100B45" w:rsidRDefault="00000000">
            <w:pPr>
              <w:spacing w:after="60" w:line="280" w:lineRule="auto"/>
            </w:pPr>
            <w:r>
              <w:lastRenderedPageBreak/>
              <w:t>Chain registry and routing policy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CE84E" w14:textId="77777777" w:rsidR="00100B45" w:rsidRDefault="00000000">
            <w:pPr>
              <w:spacing w:after="60" w:line="280" w:lineRule="auto"/>
            </w:pPr>
            <w:r>
              <w:t>Tracks supported networks, contract addresses, adapter versions, RPC endpoints, and per-network finality thresholds. Drives blue/green migration and dual-run validation.</w:t>
            </w:r>
          </w:p>
        </w:tc>
      </w:tr>
      <w:tr w:rsidR="00100B45" w14:paraId="259D61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16C20" w14:textId="77777777" w:rsidR="00100B45" w:rsidRDefault="00000000">
            <w:pPr>
              <w:spacing w:after="60" w:line="280" w:lineRule="auto"/>
            </w:pPr>
            <w:r>
              <w:t>Controlled-vocabulary registry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6DE2AA" w14:textId="77777777" w:rsidR="00100B45" w:rsidRDefault="00000000">
            <w:pPr>
              <w:spacing w:after="60" w:line="280" w:lineRule="auto"/>
            </w:pPr>
            <w:r>
              <w:t>Versioned definitions of result_type and result_subtype values, claims_version schemas, jurisdiction codes, and role identifiers. New sub-types require explicit registration before they can be normalized.</w:t>
            </w:r>
          </w:p>
        </w:tc>
      </w:tr>
      <w:tr w:rsidR="00100B45" w14:paraId="0B2DB7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F0C8F" w14:textId="77777777" w:rsidR="00100B45" w:rsidRDefault="00000000">
            <w:pPr>
              <w:spacing w:after="60" w:line="280" w:lineRule="auto"/>
            </w:pPr>
            <w:r>
              <w:t>Internal API surface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519E2B" w14:textId="77777777" w:rsidR="00100B45" w:rsidRDefault="00000000">
            <w:pPr>
              <w:spacing w:after="60" w:line="280" w:lineRule="auto"/>
            </w:pPr>
            <w:r>
              <w:t>Token Issuance API, Authentication / Claims API, Outcome Sync Ingestion API, Token Reporting API, Revocation / Suspension API, Analytics Feed API. These are the interfaces through which the merchandising layer, the post-purchase operations layer, the participant portal, and downstream consumers talk to the Engine.</w:t>
            </w:r>
          </w:p>
        </w:tc>
      </w:tr>
      <w:tr w:rsidR="00100B45" w14:paraId="2202340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F42AC" w14:textId="77777777" w:rsidR="00100B45" w:rsidRDefault="00000000">
            <w:pPr>
              <w:spacing w:after="60" w:line="280" w:lineRule="auto"/>
            </w:pPr>
            <w:r>
              <w:t>Operational monitoring and replay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DBF57" w14:textId="77777777" w:rsidR="00100B45" w:rsidRDefault="00000000">
            <w:pPr>
              <w:spacing w:after="60" w:line="280" w:lineRule="auto"/>
            </w:pPr>
            <w:r>
              <w:t>Adapter-lag, finality-delay, event-backlog, and synchronization-exception monitoring; cursor-based replay capability so canonical events can be rebuilt from raw chain history.</w:t>
            </w:r>
          </w:p>
        </w:tc>
      </w:tr>
    </w:tbl>
    <w:p w14:paraId="499234E6" w14:textId="77777777" w:rsidR="00100B45" w:rsidRDefault="00000000">
      <w:pPr>
        <w:pStyle w:val="Heading2"/>
      </w:pPr>
      <w:r>
        <w:t>3.4 Engine boundary diagram, expressed as a rule</w:t>
      </w:r>
    </w:p>
    <w:p w14:paraId="09044548" w14:textId="77777777" w:rsidR="00100B45" w:rsidRDefault="00000000">
      <w:pPr>
        <w:spacing w:after="120" w:line="300" w:lineRule="auto"/>
      </w:pPr>
      <w:r>
        <w:t>If a piece of data, code, or key custody concerns the TCT directly — its lifecycle, its state, its synchronized outcomes, its on-chain footprint, its authorization checks, its audit trail — it lives in the Engine. If it concerns the act of buying a TCT, it lives in merchandising. If it concerns what happens to a participant before, during, or after the credential exists in the world (identity, permissioning, customer support, compliance review), it lives in post-purchase operations. The TCT itself — the credential — is the artifact that all three of those activities orbit.</w:t>
      </w:r>
    </w:p>
    <w:p w14:paraId="03E299F3" w14:textId="77777777" w:rsidR="00100B45" w:rsidRDefault="00000000">
      <w:pPr>
        <w:pStyle w:val="Heading1"/>
      </w:pPr>
      <w:r>
        <w:t>4. How the four aspects interact</w:t>
      </w:r>
    </w:p>
    <w:p w14:paraId="2738BAFF" w14:textId="77777777" w:rsidR="00100B45" w:rsidRDefault="00000000">
      <w:pPr>
        <w:spacing w:after="120" w:line="300" w:lineRule="auto"/>
      </w:pPr>
      <w:r>
        <w:t>The four aspects are not peers; they are layered. The storefront calls into the Engine to fulfil orders. The post-purchase operations layer calls into the Engine to drive identity verification outcomes, mint cohorts, and update credential state. The Engine emits outcome references and a sanitized analytics feed for downstream use. The TCT is the artifact that all three orbit. A useful way to read the layering: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100B45" w14:paraId="1F466FD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466A998F" w14:textId="77777777" w:rsidR="00100B45" w:rsidRDefault="00000000">
            <w:pPr>
              <w:spacing w:after="60" w:line="280" w:lineRule="auto"/>
            </w:pPr>
            <w:r>
              <w:rPr>
                <w:b/>
                <w:bCs/>
              </w:rPr>
              <w:t>Interaction</w:t>
            </w:r>
          </w:p>
        </w:tc>
        <w:tc>
          <w:tcPr>
            <w:tcW w:w="37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291E363" w14:textId="77777777" w:rsidR="00100B45" w:rsidRDefault="00000000">
            <w:pPr>
              <w:spacing w:after="60" w:line="280" w:lineRule="auto"/>
            </w:pPr>
            <w:r>
              <w:rPr>
                <w:b/>
                <w:bCs/>
              </w:rPr>
              <w:t>Triggered by</w:t>
            </w:r>
          </w:p>
        </w:tc>
        <w:tc>
          <w:tcPr>
            <w:tcW w:w="37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31CCF7AD" w14:textId="77777777" w:rsidR="00100B45" w:rsidRDefault="00000000">
            <w:pPr>
              <w:spacing w:after="60" w:line="280" w:lineRule="auto"/>
            </w:pPr>
            <w:r>
              <w:rPr>
                <w:b/>
                <w:bCs/>
              </w:rPr>
              <w:t>What flows through the Engine</w:t>
            </w:r>
          </w:p>
        </w:tc>
      </w:tr>
      <w:tr w:rsidR="00100B45" w14:paraId="6013B3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3E0464" w14:textId="77777777" w:rsidR="00100B45" w:rsidRDefault="00000000">
            <w:pPr>
              <w:spacing w:after="60" w:line="280" w:lineRule="auto"/>
            </w:pPr>
            <w:r>
              <w:t>Order placed for a cohort</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B5662" w14:textId="77777777" w:rsidR="00100B45" w:rsidRDefault="00000000">
            <w:pPr>
              <w:spacing w:after="60" w:line="280" w:lineRule="auto"/>
            </w:pPr>
            <w:r>
              <w:t>Storefront (aspect 3)</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DB05D" w14:textId="77777777" w:rsidR="00100B45" w:rsidRDefault="00000000">
            <w:pPr>
              <w:spacing w:after="60" w:line="280" w:lineRule="auto"/>
            </w:pPr>
            <w:r>
              <w:t xml:space="preserve">Engine receives a pre-cleared fulfilment instruction: </w:t>
            </w:r>
            <w:commentRangeStart w:id="0"/>
            <w:r w:rsidRPr="00C24FBF">
              <w:rPr>
                <w:highlight w:val="yellow"/>
              </w:rPr>
              <w:t>project</w:t>
            </w:r>
            <w:commentRangeEnd w:id="0"/>
            <w:r w:rsidR="00C24FBF" w:rsidRPr="00C24FBF">
              <w:rPr>
                <w:rStyle w:val="CommentReference"/>
                <w:sz w:val="22"/>
                <w:szCs w:val="22"/>
                <w:highlight w:val="yellow"/>
              </w:rPr>
              <w:commentReference w:id="0"/>
            </w:r>
            <w:r w:rsidRPr="00C24FBF">
              <w:rPr>
                <w:highlight w:val="yellow"/>
              </w:rPr>
              <w:t>_id</w:t>
            </w:r>
            <w:r>
              <w:t xml:space="preserve">, lister identity, cohort size, jurisdiction </w:t>
            </w:r>
            <w:r>
              <w:lastRenderedPageBreak/>
              <w:t>profile, pricing reference for billing, target activation policy. Engine does not mint until aspect 4 has produced Verified results.</w:t>
            </w:r>
          </w:p>
        </w:tc>
      </w:tr>
      <w:tr w:rsidR="00100B45" w14:paraId="6B3A156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DC2B45" w14:textId="77777777" w:rsidR="00100B45" w:rsidRDefault="00000000">
            <w:pPr>
              <w:spacing w:after="60" w:line="280" w:lineRule="auto"/>
            </w:pPr>
            <w:r>
              <w:lastRenderedPageBreak/>
              <w:t>Participant completes KYC and wallet binding</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4EA5C" w14:textId="77777777" w:rsidR="00100B45" w:rsidRDefault="00000000">
            <w:pPr>
              <w:spacing w:after="60" w:line="280" w:lineRule="auto"/>
            </w:pPr>
            <w:r>
              <w:t>Post-purchase ops (aspect 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4F7B4E" w14:textId="77777777" w:rsidR="00100B45" w:rsidRDefault="00000000">
            <w:pPr>
              <w:spacing w:after="60" w:line="280" w:lineRule="auto"/>
            </w:pPr>
            <w:r>
              <w:t>Engine receives identity_binding, wallet address, jurisdiction code, compliance_status. ISSUER_ROLE submits batched mint; status is Pending until activation.</w:t>
            </w:r>
          </w:p>
        </w:tc>
      </w:tr>
      <w:tr w:rsidR="00100B45" w14:paraId="2093365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5522B6" w14:textId="77777777" w:rsidR="00100B45" w:rsidRDefault="00000000">
            <w:pPr>
              <w:spacing w:after="60" w:line="280" w:lineRule="auto"/>
            </w:pPr>
            <w:r>
              <w:t>Compliance verification completes</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15C70" w14:textId="77777777" w:rsidR="00100B45" w:rsidRDefault="00000000">
            <w:pPr>
              <w:spacing w:after="60" w:line="280" w:lineRule="auto"/>
            </w:pPr>
            <w:r>
              <w:t>Post-purchase ops (aspect 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3F0A2" w14:textId="77777777" w:rsidR="00100B45" w:rsidRDefault="00000000">
            <w:pPr>
              <w:spacing w:after="60" w:line="280" w:lineRule="auto"/>
            </w:pPr>
            <w:r>
              <w:t>COMPLIANCE_ROLE updates compliance_status. ISSUER_ROLE activates. Engine emits CredentialActivated; mirror and audit log are refreshed.</w:t>
            </w:r>
          </w:p>
        </w:tc>
      </w:tr>
      <w:tr w:rsidR="00100B45" w14:paraId="25F940C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7957F" w14:textId="77777777" w:rsidR="00100B45" w:rsidRDefault="00000000">
            <w:pPr>
              <w:spacing w:after="60" w:line="280" w:lineRule="auto"/>
            </w:pPr>
            <w:r>
              <w:t>TCN workflow emits an outcome</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4F1256" w14:textId="77777777" w:rsidR="00100B45" w:rsidRDefault="00000000">
            <w:pPr>
              <w:spacing w:after="60" w:line="280" w:lineRule="auto"/>
            </w:pPr>
            <w:r>
              <w:t>TCN (external to TCM)</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7F47FB" w14:textId="77777777" w:rsidR="00100B45" w:rsidRDefault="00000000">
            <w:pPr>
              <w:spacing w:after="60" w:line="280" w:lineRule="auto"/>
            </w:pPr>
            <w:r>
              <w:t>Adapter ingests; finality translator gates; normalizer hashes; sync gateway writes to TCTOutcomeRegistry under SYNC_ROLE; participant view is refreshed.</w:t>
            </w:r>
          </w:p>
        </w:tc>
      </w:tr>
      <w:tr w:rsidR="00100B45" w14:paraId="4D75525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35D40C" w14:textId="77777777" w:rsidR="00100B45" w:rsidRDefault="00000000">
            <w:pPr>
              <w:spacing w:after="60" w:line="280" w:lineRule="auto"/>
            </w:pPr>
            <w:r>
              <w:t>Sanctions hit or contract breach detected</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14C972" w14:textId="77777777" w:rsidR="00100B45" w:rsidRDefault="00000000">
            <w:pPr>
              <w:spacing w:after="60" w:line="280" w:lineRule="auto"/>
            </w:pPr>
            <w:r>
              <w:t>Post-purchase ops or TCN</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80E245" w14:textId="77777777" w:rsidR="00100B45" w:rsidRDefault="00000000">
            <w:pPr>
              <w:spacing w:after="60" w:line="280" w:lineRule="auto"/>
            </w:pPr>
            <w:r>
              <w:t>REVOCATION_ROLE_TCM or REVOCATION_ROLE_TCN suspends or revokes; Engine updates state and emits the lifecycle event; storefront and customer-support views reflect the new status.</w:t>
            </w:r>
          </w:p>
        </w:tc>
      </w:tr>
      <w:tr w:rsidR="00100B45" w14:paraId="2F6D17A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E40B27" w14:textId="77777777" w:rsidR="00100B45" w:rsidRDefault="00000000">
            <w:pPr>
              <w:spacing w:after="60" w:line="280" w:lineRule="auto"/>
            </w:pPr>
            <w:r>
              <w:t>Right-to-be-forgotten request</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8C9835" w14:textId="77777777" w:rsidR="00100B45" w:rsidRDefault="00000000">
            <w:pPr>
              <w:spacing w:after="60" w:line="280" w:lineRule="auto"/>
            </w:pPr>
            <w:r>
              <w:t>Post-purchase ops (aspect 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B7F634" w14:textId="77777777" w:rsidR="00100B45" w:rsidRDefault="00000000">
            <w:pPr>
              <w:spacing w:after="60" w:line="280" w:lineRule="auto"/>
            </w:pPr>
            <w:r>
              <w:t>Engine revokes the credential; the post-purchase ops layer deletes the identity vault entry. The on-chain hash binding persists for audit but becomes uninvertible. The information is forgotten; the identifier remains.</w:t>
            </w:r>
          </w:p>
        </w:tc>
      </w:tr>
      <w:tr w:rsidR="00100B45" w14:paraId="2A977E6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308D87" w14:textId="77777777" w:rsidR="00100B45" w:rsidRDefault="00000000">
            <w:pPr>
              <w:spacing w:after="60" w:line="280" w:lineRule="auto"/>
            </w:pPr>
            <w:r>
              <w:lastRenderedPageBreak/>
              <w:t>Analytics consumer pulls data</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B22831" w14:textId="77777777" w:rsidR="00100B45" w:rsidRDefault="00000000">
            <w:pPr>
              <w:spacing w:after="60" w:line="280" w:lineRule="auto"/>
            </w:pPr>
            <w:r>
              <w:t>TCA or successor entity (external)</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BCC9D4" w14:textId="77777777" w:rsidR="00100B45" w:rsidRDefault="00000000">
            <w:pPr>
              <w:spacing w:after="60" w:line="280" w:lineRule="auto"/>
            </w:pPr>
            <w:r>
              <w:t>Engine serves a pseudonymized feed from the outcome registry mirror; no raw identity material leaves the boundary.</w:t>
            </w:r>
          </w:p>
        </w:tc>
      </w:tr>
    </w:tbl>
    <w:p w14:paraId="32275EE4" w14:textId="77777777" w:rsidR="00C24FBF" w:rsidRDefault="00C24FBF">
      <w:pPr>
        <w:spacing w:after="120" w:line="300" w:lineRule="auto"/>
      </w:pPr>
    </w:p>
    <w:p w14:paraId="10D89AE6" w14:textId="109EAB89" w:rsidR="00100B45" w:rsidRDefault="00000000">
      <w:pPr>
        <w:spacing w:after="120" w:line="300" w:lineRule="auto"/>
      </w:pPr>
      <w:r>
        <w:t>The recurring pattern is that the Engine is the kernel: it receives instructions from the activities on either side, it enforces the role and policy invariants, and it produces the canonical records that everything else depends on. Storefront, post-purchase ops, and external consumers never write to chain directly and never compute outcome hashes themselves; they go through the Engine.</w:t>
      </w:r>
    </w:p>
    <w:p w14:paraId="60BB117D" w14:textId="77777777" w:rsidR="00100B45" w:rsidRDefault="00000000">
      <w:pPr>
        <w:pStyle w:val="Heading1"/>
      </w:pPr>
      <w:r>
        <w:t>5. Why the four-part frame matters for staff</w:t>
      </w:r>
    </w:p>
    <w:p w14:paraId="039AE180" w14:textId="77777777" w:rsidR="00100B45" w:rsidRDefault="00000000">
      <w:pPr>
        <w:spacing w:after="120" w:line="300" w:lineRule="auto"/>
      </w:pPr>
      <w:r>
        <w:t>Staff in different functions tend to default to one of these four aspects and then describe the whole system in its terms. Each default is partly right and entirely incomplete:</w:t>
      </w:r>
    </w:p>
    <w:p w14:paraId="67C98CFE" w14:textId="77777777" w:rsidR="00100B45" w:rsidRDefault="00000000">
      <w:pPr>
        <w:pStyle w:val="ListParagraph"/>
        <w:numPr>
          <w:ilvl w:val="0"/>
          <w:numId w:val="2"/>
        </w:numPr>
        <w:spacing w:after="80" w:line="300" w:lineRule="auto"/>
      </w:pPr>
      <w:r>
        <w:rPr>
          <w:b/>
          <w:bCs/>
        </w:rPr>
        <w:t xml:space="preserve">Engineering </w:t>
      </w:r>
      <w:r>
        <w:t>tends to default to the Engine and the TCT, and to treat merchandising and post-purchase operations as “integration work.” That treatment is what produces a launch-time surprise where the storefront has no audit-log story and customer support has no view into credential state.</w:t>
      </w:r>
    </w:p>
    <w:p w14:paraId="3A32CD88" w14:textId="77777777" w:rsidR="00100B45" w:rsidRDefault="00000000">
      <w:pPr>
        <w:pStyle w:val="ListParagraph"/>
        <w:numPr>
          <w:ilvl w:val="0"/>
          <w:numId w:val="2"/>
        </w:numPr>
        <w:spacing w:after="80" w:line="300" w:lineRule="auto"/>
      </w:pPr>
      <w:r>
        <w:rPr>
          <w:b/>
          <w:bCs/>
        </w:rPr>
        <w:t xml:space="preserve">Commercial </w:t>
      </w:r>
      <w:r>
        <w:t>tends to default to the storefront and to describe the TCT as a product. The TCT is a product, but it is also a credential governed by code-level invariants; sales materials that treat it purely as a product invite the regulatory mischaracterization codified in Rev 2 §2.</w:t>
      </w:r>
    </w:p>
    <w:p w14:paraId="4A03AB67" w14:textId="77777777" w:rsidR="00100B45" w:rsidRDefault="00000000">
      <w:pPr>
        <w:pStyle w:val="ListParagraph"/>
        <w:numPr>
          <w:ilvl w:val="0"/>
          <w:numId w:val="2"/>
        </w:numPr>
        <w:spacing w:after="80" w:line="300" w:lineRule="auto"/>
      </w:pPr>
      <w:r>
        <w:rPr>
          <w:b/>
          <w:bCs/>
        </w:rPr>
        <w:t xml:space="preserve">Compliance and operations </w:t>
      </w:r>
      <w:r>
        <w:t>tend to default to post-purchase ops and to treat the Engine as a vendor. The Engine is not a vendor; it is the system under management. The KYC workflow exists to feed the Engine, not to substitute for it.</w:t>
      </w:r>
    </w:p>
    <w:p w14:paraId="09D375D3" w14:textId="77777777" w:rsidR="00100B45" w:rsidRDefault="00000000">
      <w:pPr>
        <w:pStyle w:val="ListParagraph"/>
        <w:numPr>
          <w:ilvl w:val="0"/>
          <w:numId w:val="2"/>
        </w:numPr>
        <w:spacing w:after="80" w:line="300" w:lineRule="auto"/>
      </w:pPr>
      <w:r>
        <w:rPr>
          <w:b/>
          <w:bCs/>
        </w:rPr>
        <w:t xml:space="preserve">Legal </w:t>
      </w:r>
      <w:r>
        <w:t>tends to default to the credential itself and to ask questions about the TCT in isolation. The legal characterization is preserved or broken at every layer — merchandising language, post-purchase agreements, and the data the Engine actually stores all contribute.</w:t>
      </w:r>
    </w:p>
    <w:p w14:paraId="105BC63E" w14:textId="77777777" w:rsidR="00100B45" w:rsidRDefault="00000000">
      <w:pPr>
        <w:spacing w:after="120" w:line="300" w:lineRule="auto"/>
      </w:pPr>
      <w:r>
        <w:t>Reading the four aspects together — and locating the Engine as the kernel rather than as one of the four user-facing experiences — is the corrective. Every staff function is responsible for one or more layers; no staff function gets to ignore the others.</w:t>
      </w:r>
    </w:p>
    <w:p w14:paraId="2BD100E8" w14:textId="77777777" w:rsidR="00100B45" w:rsidRDefault="00000000">
      <w:pPr>
        <w:pStyle w:val="Heading1"/>
      </w:pPr>
      <w:r>
        <w:t>6. The Engine inside TCM’s revenue model</w:t>
      </w:r>
    </w:p>
    <w:p w14:paraId="0C1C8998" w14:textId="77777777" w:rsidR="00100B45" w:rsidRDefault="00000000">
      <w:pPr>
        <w:spacing w:after="120" w:line="300" w:lineRule="auto"/>
      </w:pPr>
      <w:r>
        <w:t xml:space="preserve">The Rev 2 implementation memo enumerated seven revenue streams across TCM, TCN, and a possible analytics entity. It is worth being explicit about which of those the Engine produces, enables, or is </w:t>
      </w:r>
      <w:r>
        <w:lastRenderedPageBreak/>
        <w:t>downstream of. The Engine is itself not a billable surface — no customer is charged for “the Engine” — but every TCM-side revenue stream either originates in the Engine or is gated by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606"/>
        <w:gridCol w:w="5373"/>
      </w:tblGrid>
      <w:tr w:rsidR="00100B45" w14:paraId="2A895BE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3DD7405F" w14:textId="77777777" w:rsidR="00100B45" w:rsidRDefault="00000000">
            <w:pPr>
              <w:spacing w:after="60" w:line="280" w:lineRule="auto"/>
            </w:pPr>
            <w:r>
              <w:rPr>
                <w:b/>
                <w:bCs/>
              </w:rPr>
              <w:t>Revenue stream</w:t>
            </w:r>
          </w:p>
        </w:tc>
        <w:tc>
          <w:tcPr>
            <w:tcW w:w="15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5CD402D" w14:textId="77777777" w:rsidR="00100B45" w:rsidRDefault="00000000">
            <w:pPr>
              <w:spacing w:after="60" w:line="280" w:lineRule="auto"/>
            </w:pPr>
            <w:r>
              <w:rPr>
                <w:b/>
                <w:bCs/>
              </w:rPr>
              <w:t>Originating aspect</w:t>
            </w:r>
          </w:p>
        </w:tc>
        <w:tc>
          <w:tcPr>
            <w:tcW w:w="54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2E23B2A6" w14:textId="77777777" w:rsidR="00100B45" w:rsidRDefault="00000000">
            <w:pPr>
              <w:spacing w:after="60" w:line="280" w:lineRule="auto"/>
            </w:pPr>
            <w:r>
              <w:rPr>
                <w:b/>
                <w:bCs/>
              </w:rPr>
              <w:t>Engine's role</w:t>
            </w:r>
          </w:p>
        </w:tc>
      </w:tr>
      <w:tr w:rsidR="00100B45" w14:paraId="57D049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977F56" w14:textId="77777777" w:rsidR="00100B45" w:rsidRDefault="00000000">
            <w:pPr>
              <w:spacing w:after="60" w:line="280" w:lineRule="auto"/>
            </w:pPr>
            <w:r>
              <w:t>Per-credential issuance fee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FCFEF4" w14:textId="77777777" w:rsidR="00100B45" w:rsidRDefault="00000000">
            <w:pPr>
              <w:spacing w:after="60" w:line="280" w:lineRule="auto"/>
            </w:pPr>
            <w:r>
              <w:t>Merchandising (3)</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DA218" w14:textId="77777777" w:rsidR="00100B45" w:rsidRDefault="00000000">
            <w:pPr>
              <w:spacing w:after="60" w:line="280" w:lineRule="auto"/>
            </w:pPr>
            <w:r>
              <w:t>Engine performs the mint that completes the order; without an issuance event from the Engine there is nothing to invoice against.</w:t>
            </w:r>
          </w:p>
        </w:tc>
      </w:tr>
      <w:tr w:rsidR="00100B45" w14:paraId="374A7C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48170" w14:textId="77777777" w:rsidR="00100B45" w:rsidRDefault="00000000">
            <w:pPr>
              <w:spacing w:after="60" w:line="280" w:lineRule="auto"/>
            </w:pPr>
            <w:r>
              <w:t>KYC verification fee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369F13" w14:textId="77777777" w:rsidR="00100B45" w:rsidRDefault="00000000">
            <w:pPr>
              <w:spacing w:after="60" w:line="280" w:lineRule="auto"/>
            </w:pPr>
            <w:r>
              <w:t>Post-purchase ops (4)</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15946" w14:textId="77777777" w:rsidR="00100B45" w:rsidRDefault="00000000">
            <w:pPr>
              <w:spacing w:after="60" w:line="280" w:lineRule="auto"/>
            </w:pPr>
            <w:r>
              <w:t>Engine consumes the verification outcome; it does not produce the fee itself, but the fee is recognized at the point the Engine receives a Verified result and binds it to a credential.</w:t>
            </w:r>
          </w:p>
        </w:tc>
      </w:tr>
      <w:tr w:rsidR="00100B45" w14:paraId="4D7729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4169B" w14:textId="77777777" w:rsidR="00100B45" w:rsidRDefault="00000000">
            <w:pPr>
              <w:spacing w:after="60" w:line="280" w:lineRule="auto"/>
            </w:pPr>
            <w:r>
              <w:t>Synchronization service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40244" w14:textId="77777777" w:rsidR="00100B45" w:rsidRDefault="00000000">
            <w:pPr>
              <w:spacing w:after="60" w:line="280" w:lineRule="auto"/>
            </w:pPr>
            <w:r>
              <w:t>Engine (2)</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7A8E5" w14:textId="77777777" w:rsidR="00100B45" w:rsidRDefault="00000000">
            <w:pPr>
              <w:spacing w:after="60" w:line="280" w:lineRule="auto"/>
            </w:pPr>
            <w:r>
              <w:t>Directly produced by the Engine. SYNC_ROLE writes are the unit of service; per-event or subscription billing is metered from the registry.</w:t>
            </w:r>
          </w:p>
        </w:tc>
      </w:tr>
      <w:tr w:rsidR="00100B45" w14:paraId="50896D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EDB5A" w14:textId="77777777" w:rsidR="00100B45" w:rsidRDefault="00000000">
            <w:pPr>
              <w:spacing w:after="60" w:line="280" w:lineRule="auto"/>
            </w:pPr>
            <w:r>
              <w:t>Gas pass-through with markup</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20F7E" w14:textId="77777777" w:rsidR="00100B45" w:rsidRDefault="00000000">
            <w:pPr>
              <w:spacing w:after="60" w:line="280" w:lineRule="auto"/>
            </w:pPr>
            <w:r>
              <w:t>Engine (2) and TCN</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994218" w14:textId="77777777" w:rsidR="00100B45" w:rsidRDefault="00000000">
            <w:pPr>
              <w:spacing w:after="60" w:line="280" w:lineRule="auto"/>
            </w:pPr>
            <w:r>
              <w:t>Engine’s adapter layer is what observes and accounts for actual on-chain cost; billing reconciliation reads from the Engine's chain-cost ledger.</w:t>
            </w:r>
          </w:p>
        </w:tc>
      </w:tr>
      <w:tr w:rsidR="00100B45" w14:paraId="1AF95C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2A9AB7" w14:textId="77777777" w:rsidR="00100B45" w:rsidRDefault="00000000">
            <w:pPr>
              <w:spacing w:after="60" w:line="280" w:lineRule="auto"/>
            </w:pPr>
            <w:r>
              <w:t>ERC-4337 wallet services (v2)</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E4163" w14:textId="77777777" w:rsidR="00100B45" w:rsidRDefault="00000000">
            <w:pPr>
              <w:spacing w:after="60" w:line="280" w:lineRule="auto"/>
            </w:pPr>
            <w:r>
              <w:t>Post-purchase ops (4) and Engine (2)</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9F43D1" w14:textId="77777777" w:rsidR="00100B45" w:rsidRDefault="00000000">
            <w:pPr>
              <w:spacing w:after="60" w:line="280" w:lineRule="auto"/>
            </w:pPr>
            <w:r>
              <w:t>Engine integrates the co-signer; post-purchase ops front the recovery and session-key user flows.</w:t>
            </w:r>
          </w:p>
        </w:tc>
      </w:tr>
      <w:tr w:rsidR="00100B45" w14:paraId="4151FAF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4C4DBC" w14:textId="77777777" w:rsidR="00100B45" w:rsidRDefault="00000000">
            <w:pPr>
              <w:spacing w:after="60" w:line="280" w:lineRule="auto"/>
            </w:pPr>
            <w:r>
              <w:t>Off-chain formation / ownership custody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4F134A" w14:textId="77777777" w:rsidR="00100B45" w:rsidRDefault="00000000">
            <w:pPr>
              <w:spacing w:after="60" w:line="280" w:lineRule="auto"/>
            </w:pPr>
            <w:r>
              <w:t>Post-purchase ops (4)</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A3F09A" w14:textId="77777777" w:rsidR="00100B45" w:rsidRDefault="00000000">
            <w:pPr>
              <w:spacing w:after="60" w:line="280" w:lineRule="auto"/>
            </w:pPr>
            <w:r>
              <w:t>Engine references the custody store by opaque ID via offchain_authority_ref; the documents themselves live outside the Engine.</w:t>
            </w:r>
          </w:p>
        </w:tc>
      </w:tr>
      <w:tr w:rsidR="00100B45" w14:paraId="69D357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14D5D5" w14:textId="77777777" w:rsidR="00100B45" w:rsidRDefault="00000000">
            <w:pPr>
              <w:spacing w:after="60" w:line="280" w:lineRule="auto"/>
            </w:pPr>
            <w:r>
              <w:t>Analytics feed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5BFD89" w14:textId="77777777" w:rsidR="00100B45" w:rsidRDefault="00000000">
            <w:pPr>
              <w:spacing w:after="60" w:line="280" w:lineRule="auto"/>
            </w:pPr>
            <w:r>
              <w:t>Engine (2) downstream</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A2A3E" w14:textId="77777777" w:rsidR="00100B45" w:rsidRDefault="00000000">
            <w:pPr>
              <w:spacing w:after="60" w:line="280" w:lineRule="auto"/>
            </w:pPr>
            <w:r>
              <w:t>Engine produces the pseudonymized feed; the downstream entity prices and sells access.</w:t>
            </w:r>
          </w:p>
        </w:tc>
      </w:tr>
    </w:tbl>
    <w:p w14:paraId="2DCA5E05" w14:textId="77777777" w:rsidR="00C24FBF" w:rsidRDefault="00C24FBF">
      <w:pPr>
        <w:spacing w:after="120" w:line="300" w:lineRule="auto"/>
      </w:pPr>
    </w:p>
    <w:p w14:paraId="6BD8D8B3" w14:textId="2DA854CF" w:rsidR="00100B45" w:rsidRDefault="00000000">
      <w:pPr>
        <w:spacing w:after="120" w:line="300" w:lineRule="auto"/>
      </w:pPr>
      <w:r>
        <w:t>Two implications for staff. First, every revenue stream has an audit basis inside the Engine — issuance fees against CredentialMinted events, sync fees against registry writes, gas markup against the adapter cost ledger. Finance and engineering should expect a shared instrumentation story, not parallel ones. Second, no revenue stream is recognized against a chain event that has not reached Audit Final under the abstraction layer's finality state machine. Provisional events do not produce billable units.</w:t>
      </w:r>
    </w:p>
    <w:p w14:paraId="78FE4755" w14:textId="77777777" w:rsidR="00100B45" w:rsidRDefault="00000000">
      <w:pPr>
        <w:pStyle w:val="Heading1"/>
      </w:pPr>
      <w:r>
        <w:lastRenderedPageBreak/>
        <w:t>7. What the Engine implies for the TCM website build</w:t>
      </w:r>
    </w:p>
    <w:p w14:paraId="4E036EE8" w14:textId="77777777" w:rsidR="00100B45" w:rsidRDefault="00000000">
      <w:pPr>
        <w:spacing w:after="120" w:line="300" w:lineRule="auto"/>
      </w:pPr>
      <w:r>
        <w:t>The TCM website is the user-facing presentation; the Engine is the kernel behind it. A few practical consequences for the website build that staff should hold in mind:</w:t>
      </w:r>
    </w:p>
    <w:p w14:paraId="74C28AD4" w14:textId="77777777" w:rsidR="00100B45" w:rsidRDefault="00000000">
      <w:pPr>
        <w:pStyle w:val="ListParagraph"/>
        <w:numPr>
          <w:ilvl w:val="0"/>
          <w:numId w:val="2"/>
        </w:numPr>
        <w:spacing w:after="80" w:line="300" w:lineRule="auto"/>
      </w:pPr>
      <w:r>
        <w:rPr>
          <w:b/>
          <w:bCs/>
        </w:rPr>
        <w:t xml:space="preserve">The website is mostly a thin orchestration layer. </w:t>
      </w:r>
      <w:r>
        <w:t>Authentication, credential state display, order placement, KYC handoff, support views, and outcome reporting are all reads or writes against Engine APIs. Business logic that creeps into the website itself is business logic in the wrong place; over time it should be migrated back into the Engine.</w:t>
      </w:r>
    </w:p>
    <w:p w14:paraId="6654CAF8" w14:textId="77777777" w:rsidR="00100B45" w:rsidRDefault="00000000">
      <w:pPr>
        <w:pStyle w:val="ListParagraph"/>
        <w:numPr>
          <w:ilvl w:val="0"/>
          <w:numId w:val="2"/>
        </w:numPr>
        <w:spacing w:after="80" w:line="300" w:lineRule="auto"/>
      </w:pPr>
      <w:r>
        <w:rPr>
          <w:b/>
          <w:bCs/>
        </w:rPr>
        <w:t xml:space="preserve">Three distinct user surfaces share one site. </w:t>
      </w:r>
      <w:r>
        <w:t>Project listers (commercial buyers), participants (credential holders), and TCM staff (operations and support) each see different views of the same underlying Engine data. Authorization between these surfaces is itself a TCT-style policy decision and should be modeled with the same discipline.</w:t>
      </w:r>
    </w:p>
    <w:p w14:paraId="5DFB71EB" w14:textId="77777777" w:rsidR="00100B45" w:rsidRDefault="00000000">
      <w:pPr>
        <w:pStyle w:val="ListParagraph"/>
        <w:numPr>
          <w:ilvl w:val="0"/>
          <w:numId w:val="2"/>
        </w:numPr>
        <w:spacing w:after="80" w:line="300" w:lineRule="auto"/>
      </w:pPr>
      <w:r>
        <w:rPr>
          <w:b/>
          <w:bCs/>
        </w:rPr>
        <w:t xml:space="preserve">Provisional state must be marked everywhere it is shown. </w:t>
      </w:r>
      <w:r>
        <w:t>If the website surfaces an outcome that has not reached Audit Final, the provisional flag travels with it through every read path. There is no place in the site where the distinction can be dropped.</w:t>
      </w:r>
    </w:p>
    <w:p w14:paraId="124E3ECF" w14:textId="77777777" w:rsidR="00100B45" w:rsidRDefault="00000000">
      <w:pPr>
        <w:pStyle w:val="ListParagraph"/>
        <w:numPr>
          <w:ilvl w:val="0"/>
          <w:numId w:val="2"/>
        </w:numPr>
        <w:spacing w:after="80" w:line="300" w:lineRule="auto"/>
      </w:pPr>
      <w:r>
        <w:rPr>
          <w:b/>
          <w:bCs/>
        </w:rPr>
        <w:t xml:space="preserve">Communications-layer discipline is part of the build. </w:t>
      </w:r>
      <w:r>
        <w:t>Per Rev 2 §10.6, the language used in the website itself is part of the regulatory posture. Copy describing the TCT as an investment, an asset, or a tradable token undermines the architecture regardless of what the contracts do. Copy review is a launch gate, not a polish step.</w:t>
      </w:r>
    </w:p>
    <w:p w14:paraId="5ECC3708" w14:textId="77777777" w:rsidR="00100B45" w:rsidRDefault="00000000">
      <w:pPr>
        <w:pStyle w:val="ListParagraph"/>
        <w:numPr>
          <w:ilvl w:val="0"/>
          <w:numId w:val="2"/>
        </w:numPr>
        <w:spacing w:after="80" w:line="300" w:lineRule="auto"/>
      </w:pPr>
      <w:r>
        <w:rPr>
          <w:b/>
          <w:bCs/>
        </w:rPr>
        <w:t xml:space="preserve">Customer support is an Engine consumer, not a parallel system. </w:t>
      </w:r>
      <w:r>
        <w:t>Support tools read from the credential-state mirror and the audit log; they do not maintain a separate ticket-state view of the credential. The mirror is canonical.</w:t>
      </w:r>
    </w:p>
    <w:p w14:paraId="5B6811B6" w14:textId="77777777" w:rsidR="00100B45" w:rsidRDefault="00000000">
      <w:pPr>
        <w:pStyle w:val="Heading1"/>
      </w:pPr>
      <w:r>
        <w:t>8. Database considerations across the four aspects</w:t>
      </w:r>
    </w:p>
    <w:p w14:paraId="427C4ADC" w14:textId="77777777" w:rsidR="00100B45" w:rsidRDefault="00000000">
      <w:pPr>
        <w:spacing w:after="120" w:line="300" w:lineRule="auto"/>
      </w:pPr>
      <w:r>
        <w:t>The database picture for the TCM website is not a single database. It is a portfolio of stores with very different sensitivity, retention, and integrity requirements. Treating it as one store is the most common architectural mistake at this stage of a project, and it is the one that is most expensive to undo later. The principles below apply across the portfolio; the table that follows assigns each principle to specific stores.</w:t>
      </w:r>
    </w:p>
    <w:p w14:paraId="3550A84C" w14:textId="77777777" w:rsidR="00100B45" w:rsidRDefault="00000000">
      <w:pPr>
        <w:pStyle w:val="Heading2"/>
      </w:pPr>
      <w:r>
        <w:t>8.1 Cross-cutting principles</w:t>
      </w:r>
    </w:p>
    <w:p w14:paraId="7255454C" w14:textId="77777777" w:rsidR="00100B45" w:rsidRDefault="00000000">
      <w:pPr>
        <w:pStyle w:val="ListParagraph"/>
        <w:numPr>
          <w:ilvl w:val="0"/>
          <w:numId w:val="2"/>
        </w:numPr>
        <w:spacing w:after="80" w:line="300" w:lineRule="auto"/>
      </w:pPr>
      <w:r>
        <w:rPr>
          <w:b/>
          <w:bCs/>
        </w:rPr>
        <w:t xml:space="preserve">PII isolation is structural, not procedural. </w:t>
      </w:r>
      <w:r>
        <w:t xml:space="preserve">The identity vault is its own </w:t>
      </w:r>
      <w:commentRangeStart w:id="1"/>
      <w:r>
        <w:t>database</w:t>
      </w:r>
      <w:commentRangeEnd w:id="1"/>
      <w:r w:rsidR="00260D81">
        <w:rPr>
          <w:rStyle w:val="CommentReference"/>
          <w:sz w:val="22"/>
          <w:szCs w:val="22"/>
        </w:rPr>
        <w:commentReference w:id="1"/>
      </w:r>
      <w:r>
        <w:t>, on its own infrastructure, with its own key management and its own access policy. No other Engine, merchandising, or post-purchase service shares its credentials. Other services see only salted hashes and opaque IDs.</w:t>
      </w:r>
    </w:p>
    <w:p w14:paraId="4C505EB5" w14:textId="77777777" w:rsidR="00100B45" w:rsidRDefault="00000000">
      <w:pPr>
        <w:pStyle w:val="ListParagraph"/>
        <w:numPr>
          <w:ilvl w:val="0"/>
          <w:numId w:val="2"/>
        </w:numPr>
        <w:spacing w:after="80" w:line="300" w:lineRule="auto"/>
      </w:pPr>
      <w:r>
        <w:rPr>
          <w:b/>
          <w:bCs/>
        </w:rPr>
        <w:lastRenderedPageBreak/>
        <w:t xml:space="preserve">Pseudonymization at every boundary. </w:t>
      </w:r>
      <w:r>
        <w:t>Outside the identity vault, every participant reference is a UUID, a salted hash, or an opaque ID. The mapping from those references back to identity is held only inside the vault.</w:t>
      </w:r>
    </w:p>
    <w:p w14:paraId="424E2763" w14:textId="77777777" w:rsidR="00100B45" w:rsidRDefault="00000000">
      <w:pPr>
        <w:pStyle w:val="ListParagraph"/>
        <w:numPr>
          <w:ilvl w:val="0"/>
          <w:numId w:val="2"/>
        </w:numPr>
        <w:spacing w:after="80" w:line="300" w:lineRule="auto"/>
      </w:pPr>
      <w:r>
        <w:rPr>
          <w:b/>
          <w:bCs/>
        </w:rPr>
        <w:t xml:space="preserve">Append-only audit, mutable operational mirrors. </w:t>
      </w:r>
      <w:r>
        <w:t>Audit logs are tamper-evident and append-only. The credential-state mirror is mutable and refreshed on every on-chain change, but every mutation produces an audit-log entry. The two stores are reconciled continuously.</w:t>
      </w:r>
    </w:p>
    <w:p w14:paraId="4B49CE71" w14:textId="77777777" w:rsidR="00100B45" w:rsidRDefault="00000000">
      <w:pPr>
        <w:pStyle w:val="ListParagraph"/>
        <w:numPr>
          <w:ilvl w:val="0"/>
          <w:numId w:val="2"/>
        </w:numPr>
        <w:spacing w:after="80" w:line="300" w:lineRule="auto"/>
      </w:pPr>
      <w:r>
        <w:rPr>
          <w:b/>
          <w:bCs/>
        </w:rPr>
        <w:t xml:space="preserve">Idempotency keys on every external write. </w:t>
      </w:r>
      <w:r>
        <w:t>Sync writes, merchandising fulfilment instructions, and post-purchase KYC outcomes all carry idempotency keys. Replays are safe by construction; duplicate deliveries do not produce duplicate records.</w:t>
      </w:r>
    </w:p>
    <w:p w14:paraId="698197D8" w14:textId="77777777" w:rsidR="00100B45" w:rsidRDefault="00000000">
      <w:pPr>
        <w:pStyle w:val="ListParagraph"/>
        <w:numPr>
          <w:ilvl w:val="0"/>
          <w:numId w:val="2"/>
        </w:numPr>
        <w:spacing w:after="80" w:line="300" w:lineRule="auto"/>
      </w:pPr>
      <w:r>
        <w:rPr>
          <w:b/>
          <w:bCs/>
        </w:rPr>
        <w:t xml:space="preserve">Multiple time dimensions kept distinct. </w:t>
      </w:r>
      <w:r>
        <w:t>Event occurrence time, chain confirmation time, sync ingest time, and publish time are stored separately on every outcome record. The TCM Implementation Memo §9.2 requires this; the database schemas must reflect it.</w:t>
      </w:r>
    </w:p>
    <w:p w14:paraId="2BAB2EA8" w14:textId="77777777" w:rsidR="00100B45" w:rsidRDefault="00000000">
      <w:pPr>
        <w:pStyle w:val="ListParagraph"/>
        <w:numPr>
          <w:ilvl w:val="0"/>
          <w:numId w:val="2"/>
        </w:numPr>
        <w:spacing w:after="80" w:line="300" w:lineRule="auto"/>
      </w:pPr>
      <w:r>
        <w:rPr>
          <w:b/>
          <w:bCs/>
        </w:rPr>
        <w:t xml:space="preserve">Network-aware records everywhere. </w:t>
      </w:r>
      <w:r>
        <w:t>Every credential and every outcome reference carries network_id. The schema must not assume a single network; the chain-agnostic posture is a database posture as well as a contract posture.</w:t>
      </w:r>
    </w:p>
    <w:p w14:paraId="6129C02A" w14:textId="77777777" w:rsidR="00100B45" w:rsidRDefault="00000000">
      <w:pPr>
        <w:pStyle w:val="ListParagraph"/>
        <w:numPr>
          <w:ilvl w:val="0"/>
          <w:numId w:val="2"/>
        </w:numPr>
        <w:spacing w:after="80" w:line="300" w:lineRule="auto"/>
      </w:pPr>
      <w:r>
        <w:rPr>
          <w:b/>
          <w:bCs/>
        </w:rPr>
        <w:t xml:space="preserve">Right-to-be-forgotten compatibility. </w:t>
      </w:r>
      <w:r>
        <w:t>Deletion of the identity vault entry must render the corresponding on-chain hash uninvertible. That requires that the salt be vault-resident and destroyed with the entry. The credential-state mirror retains the hash for audit; the identity behind it is gone.</w:t>
      </w:r>
    </w:p>
    <w:p w14:paraId="19BE02FF" w14:textId="77777777" w:rsidR="00100B45" w:rsidRDefault="00000000">
      <w:pPr>
        <w:pStyle w:val="ListParagraph"/>
        <w:numPr>
          <w:ilvl w:val="0"/>
          <w:numId w:val="2"/>
        </w:numPr>
        <w:spacing w:after="80" w:line="300" w:lineRule="auto"/>
      </w:pPr>
      <w:r>
        <w:rPr>
          <w:b/>
          <w:bCs/>
        </w:rPr>
        <w:t xml:space="preserve">Separation of operational reads from analytics reads. </w:t>
      </w:r>
      <w:r>
        <w:t>The Engine’s hot operational stores are not the right substrate for analytics queries; an approved, pseudonymized feed is materialized into an analytics store that downstream consumers query. Cross-traffic between the two is forbidden.</w:t>
      </w:r>
    </w:p>
    <w:p w14:paraId="2985AE28" w14:textId="77777777" w:rsidR="00100B45" w:rsidRDefault="00000000">
      <w:pPr>
        <w:pStyle w:val="ListParagraph"/>
        <w:numPr>
          <w:ilvl w:val="0"/>
          <w:numId w:val="2"/>
        </w:numPr>
        <w:spacing w:after="80" w:line="300" w:lineRule="auto"/>
      </w:pPr>
      <w:r>
        <w:rPr>
          <w:b/>
          <w:bCs/>
        </w:rPr>
        <w:t xml:space="preserve">Reconciliation jobs are first-class. </w:t>
      </w:r>
      <w:r>
        <w:t>Mirror-vs-chain reconciliation, audit-vs-mirror reconciliation, and billing-vs-events reconciliation run on schedules; divergence raises Sev-1 alerts.</w:t>
      </w:r>
    </w:p>
    <w:p w14:paraId="0876ECE2" w14:textId="77777777" w:rsidR="00100B45" w:rsidRDefault="00000000">
      <w:pPr>
        <w:pStyle w:val="Heading2"/>
      </w:pPr>
      <w:r>
        <w:t>8.2 Required stores, by aspect</w:t>
      </w:r>
    </w:p>
    <w:p w14:paraId="556A3DFE" w14:textId="77777777" w:rsidR="00100B45" w:rsidRDefault="00000000">
      <w:pPr>
        <w:spacing w:after="120" w:line="300" w:lineRule="auto"/>
      </w:pPr>
      <w:r>
        <w:t>Below is the working list of distinct data stores implied by the four aspects. Each store has a clear owner, a clear access policy, and a clear retention rule. Staff should treat the list as a target architecture rather than as a single-database design that will be decomposed later — decomposition under load is harder than greenfield separation.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606"/>
        <w:gridCol w:w="5969"/>
      </w:tblGrid>
      <w:tr w:rsidR="00100B45" w14:paraId="1B2533C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67D91356" w14:textId="77777777" w:rsidR="00100B45" w:rsidRDefault="00000000">
            <w:pPr>
              <w:spacing w:after="60" w:line="280" w:lineRule="auto"/>
            </w:pPr>
            <w:r>
              <w:rPr>
                <w:b/>
                <w:bCs/>
              </w:rPr>
              <w:t>Store</w:t>
            </w:r>
          </w:p>
        </w:tc>
        <w:tc>
          <w:tcPr>
            <w:tcW w:w="13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DC7B0D3" w14:textId="77777777" w:rsidR="00100B45" w:rsidRDefault="00000000">
            <w:pPr>
              <w:spacing w:after="60" w:line="280" w:lineRule="auto"/>
            </w:pPr>
            <w:r>
              <w:rPr>
                <w:b/>
                <w:bCs/>
              </w:rPr>
              <w:t>Aspect</w:t>
            </w:r>
          </w:p>
        </w:tc>
        <w:tc>
          <w:tcPr>
            <w:tcW w:w="62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40D73551" w14:textId="77777777" w:rsidR="00100B45" w:rsidRDefault="00000000">
            <w:pPr>
              <w:spacing w:after="60" w:line="280" w:lineRule="auto"/>
            </w:pPr>
            <w:r>
              <w:rPr>
                <w:b/>
                <w:bCs/>
              </w:rPr>
              <w:t>Contents and rules</w:t>
            </w:r>
          </w:p>
        </w:tc>
      </w:tr>
      <w:tr w:rsidR="00100B45" w14:paraId="7056986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01A7A" w14:textId="77777777" w:rsidR="00100B45" w:rsidRDefault="00000000">
            <w:pPr>
              <w:spacing w:after="60" w:line="280" w:lineRule="auto"/>
            </w:pPr>
            <w:r>
              <w:t>Identity vault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44BB93"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DCB69E" w14:textId="77777777" w:rsidR="00100B45" w:rsidRDefault="00000000">
            <w:pPr>
              <w:spacing w:after="60" w:line="280" w:lineRule="auto"/>
            </w:pPr>
            <w:r>
              <w:t xml:space="preserve">Raw KYC records, sanctions screening results, government IDs, identity documents, salt material used to compute identity_binding. Encrypted at rest with rotated keys. Access </w:t>
            </w:r>
            <w:r>
              <w:lastRenderedPageBreak/>
              <w:t>only by named services with per-call audit logging. Deletion-capable (the operational equivalent of right-to-be-forgotten). Never accessible from the Engine’s hot path.</w:t>
            </w:r>
          </w:p>
        </w:tc>
      </w:tr>
      <w:tr w:rsidR="00100B45" w14:paraId="32834E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25CF2" w14:textId="77777777" w:rsidR="00100B45" w:rsidRDefault="00000000">
            <w:pPr>
              <w:spacing w:after="60" w:line="280" w:lineRule="auto"/>
            </w:pPr>
            <w:r>
              <w:lastRenderedPageBreak/>
              <w:t>Credential-state mirror</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54978A"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66AFE" w14:textId="77777777" w:rsidR="00100B45" w:rsidRDefault="00000000">
            <w:pPr>
              <w:spacing w:after="60" w:line="280" w:lineRule="auto"/>
            </w:pPr>
            <w:r>
              <w:t>Off-chain authoritative read model of TCTCredential state: token_id, network_id, identity_binding hash (not the underlying identity), status, compliance_status, jurisdiction_code, claims_version, timestamps, audit_root_hash. Refreshed on every on-chain mutation. Source of truth for application reads; chain is source of truth for audit.</w:t>
            </w:r>
          </w:p>
        </w:tc>
      </w:tr>
      <w:tr w:rsidR="00100B45" w14:paraId="3A33486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F59AD" w14:textId="77777777" w:rsidR="00100B45" w:rsidRDefault="00000000">
            <w:pPr>
              <w:spacing w:after="60" w:line="280" w:lineRule="auto"/>
            </w:pPr>
            <w:r>
              <w:t>Outcome reference store (registry mirror)</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003829"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774F8A" w14:textId="77777777" w:rsidR="00100B45" w:rsidRDefault="00000000">
            <w:pPr>
              <w:spacing w:after="60" w:line="280" w:lineRule="auto"/>
            </w:pPr>
            <w:r>
              <w:t>Off-chain mirror of TCTOutcomeRegistry: event_id, event_hash, contract_id, result_type and result_subtype, effective_at, synced_at, network_id, chain_ref, offchain_authority_ref, finalized flag. Indexed by participant pseudonym for participant-view rendering and by contract_id for workflow-level analytics.</w:t>
            </w:r>
          </w:p>
        </w:tc>
      </w:tr>
      <w:tr w:rsidR="00100B45" w14:paraId="16F83A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6CBCFA" w14:textId="77777777" w:rsidR="00100B45" w:rsidRDefault="00000000">
            <w:pPr>
              <w:spacing w:after="60" w:line="280" w:lineRule="auto"/>
            </w:pPr>
            <w:r>
              <w:t>Audit log</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9AB9CE"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D6FEC3" w14:textId="77777777" w:rsidR="00100B45" w:rsidRDefault="00000000">
            <w:pPr>
              <w:spacing w:after="60" w:line="280" w:lineRule="auto"/>
            </w:pPr>
            <w:r>
              <w:t>Tamper-evident append-only log of issuance, activation, suspension, revocation, role grants and revocations, sync writes, exceptions, and reconciliation outcomes. Independent of the operational mirrors. Retention is indefinite for issuance-lineage records; bounded for operational-noise records under a documented policy.</w:t>
            </w:r>
          </w:p>
        </w:tc>
      </w:tr>
      <w:tr w:rsidR="00100B45" w14:paraId="728AA0D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D731C7" w14:textId="77777777" w:rsidR="00100B45" w:rsidRDefault="00000000">
            <w:pPr>
              <w:spacing w:after="60" w:line="280" w:lineRule="auto"/>
            </w:pPr>
            <w:r>
              <w:t>Sync pipeline state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D7636"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CCC411" w14:textId="77777777" w:rsidR="00100B45" w:rsidRDefault="00000000">
            <w:pPr>
              <w:spacing w:after="60" w:line="280" w:lineRule="auto"/>
            </w:pPr>
            <w:r>
              <w:t>Adapter cursors per network, finality-state machine snapshots per pending event, idempotency-key index, replay checkpoints. Designed for crash-safe resumption. Not user-visible; engineering operational.</w:t>
            </w:r>
          </w:p>
        </w:tc>
      </w:tr>
      <w:tr w:rsidR="00100B45" w14:paraId="5366A06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8F15B" w14:textId="77777777" w:rsidR="00100B45" w:rsidRDefault="00000000">
            <w:pPr>
              <w:spacing w:after="60" w:line="280" w:lineRule="auto"/>
            </w:pPr>
            <w:r>
              <w:t>Chain registry / config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01224"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A4C001" w14:textId="77777777" w:rsidR="00100B45" w:rsidRDefault="00000000">
            <w:pPr>
              <w:spacing w:after="60" w:line="280" w:lineRule="auto"/>
            </w:pPr>
            <w:r>
              <w:t>Supported networks, contract addresses, adapter versions, RPC endpoints (with health and failover), per-network finality thresholds, controlled-vocabulary versions. Change-controlled; every modification produces an audit-log entry.</w:t>
            </w:r>
          </w:p>
        </w:tc>
      </w:tr>
      <w:tr w:rsidR="00100B45" w14:paraId="14A770B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59366" w14:textId="77777777" w:rsidR="00100B45" w:rsidRDefault="00000000">
            <w:pPr>
              <w:spacing w:after="60" w:line="280" w:lineRule="auto"/>
            </w:pPr>
            <w:r>
              <w:t>Controlled-vocabulary registry</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94780F"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CEC6A5" w14:textId="77777777" w:rsidR="00100B45" w:rsidRDefault="00000000">
            <w:pPr>
              <w:spacing w:after="60" w:line="280" w:lineRule="auto"/>
            </w:pPr>
            <w:r>
              <w:t xml:space="preserve">Versioned result_type and result_subtype definitions, claims_version schemas, jurisdiction codes. Validated at the </w:t>
            </w:r>
            <w:r>
              <w:lastRenderedPageBreak/>
              <w:t>normalizer; additions require explicit registration with a version bump.</w:t>
            </w:r>
          </w:p>
        </w:tc>
      </w:tr>
      <w:tr w:rsidR="00100B45" w14:paraId="580FCAB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B44D0" w14:textId="77777777" w:rsidR="00100B45" w:rsidRDefault="00000000">
            <w:pPr>
              <w:spacing w:after="60" w:line="280" w:lineRule="auto"/>
            </w:pPr>
            <w:r>
              <w:lastRenderedPageBreak/>
              <w:t>Commercial / merchandising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BCBD6" w14:textId="77777777" w:rsidR="00100B45" w:rsidRDefault="00000000">
            <w:pPr>
              <w:spacing w:after="60" w:line="280" w:lineRule="auto"/>
            </w:pPr>
            <w:r>
              <w:t>Merchandising (3)</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7965B" w14:textId="77777777" w:rsidR="00100B45" w:rsidRDefault="00000000">
            <w:pPr>
              <w:spacing w:after="60" w:line="280" w:lineRule="auto"/>
            </w:pPr>
            <w:r>
              <w:t>Project lister accounts, projects, cohort definitions, catalog items, pricing, orders, invoices, payment-rail transaction references, terms-of-sale and participation-agreement versions. Holds no participant identity material; participant references are by Engine credential ID once issued.</w:t>
            </w:r>
          </w:p>
        </w:tc>
      </w:tr>
      <w:tr w:rsidR="00100B45" w14:paraId="6B8998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0CE62" w14:textId="77777777" w:rsidR="00100B45" w:rsidRDefault="00000000">
            <w:pPr>
              <w:spacing w:after="60" w:line="280" w:lineRule="auto"/>
            </w:pPr>
            <w:r>
              <w:t>KYC / compliance workflow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A78C3"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7D816" w14:textId="77777777" w:rsidR="00100B45" w:rsidRDefault="00000000">
            <w:pPr>
              <w:spacing w:after="60" w:line="280" w:lineRule="auto"/>
            </w:pPr>
            <w:r>
              <w:t>Open verification cases, sanctions-screening case state, jurisdiction determinations, escalations, manual-review queues. Linked to the identity vault by case ID; the documents themselves live in the vault, not here.</w:t>
            </w:r>
          </w:p>
        </w:tc>
      </w:tr>
      <w:tr w:rsidR="00100B45" w14:paraId="1753F8C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AF8F1B" w14:textId="77777777" w:rsidR="00100B45" w:rsidRDefault="00000000">
            <w:pPr>
              <w:spacing w:after="60" w:line="280" w:lineRule="auto"/>
            </w:pPr>
            <w:r>
              <w:t>Document custody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1C5C5"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CCA92" w14:textId="77777777" w:rsidR="00100B45" w:rsidRDefault="00000000">
            <w:pPr>
              <w:spacing w:after="60" w:line="280" w:lineRule="auto"/>
            </w:pPr>
            <w:r>
              <w:t xml:space="preserve">Off-chain formation and ownership documents held by TCM as custodian (new responsibility in Rev </w:t>
            </w:r>
            <w:commentRangeStart w:id="2"/>
            <w:r>
              <w:t>2</w:t>
            </w:r>
            <w:commentRangeEnd w:id="2"/>
            <w:r w:rsidR="00260D81">
              <w:rPr>
                <w:rStyle w:val="CommentReference"/>
                <w:sz w:val="22"/>
                <w:szCs w:val="22"/>
              </w:rPr>
              <w:commentReference w:id="2"/>
            </w:r>
            <w:r>
              <w:t>). Addressable by opaque ID via offchain_authority_ref. Separate from both the identity vault and the operational mirrors. SOC-controlled. Counsel-reviewed before launch.</w:t>
            </w:r>
          </w:p>
        </w:tc>
      </w:tr>
      <w:tr w:rsidR="00100B45" w14:paraId="2D68E98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B33C0" w14:textId="77777777" w:rsidR="00100B45" w:rsidRDefault="00000000">
            <w:pPr>
              <w:spacing w:after="60" w:line="280" w:lineRule="auto"/>
            </w:pPr>
            <w:r>
              <w:t>Customer support / case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CF73D"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259243" w14:textId="77777777" w:rsidR="00100B45" w:rsidRDefault="00000000">
            <w:pPr>
              <w:spacing w:after="60" w:line="280" w:lineRule="auto"/>
            </w:pPr>
            <w:r>
              <w:t>Support tickets, communications, case state. Reads from the credential-state mirror and audit log; never the canonical record of credential state. Linked to participants by credential ID and by case-level pseudonym.</w:t>
            </w:r>
          </w:p>
        </w:tc>
      </w:tr>
      <w:tr w:rsidR="00100B45" w14:paraId="7C9F1B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D3F467" w14:textId="77777777" w:rsidR="00100B45" w:rsidRDefault="00000000">
            <w:pPr>
              <w:spacing w:after="60" w:line="280" w:lineRule="auto"/>
            </w:pPr>
            <w:r>
              <w:t>Analytics feed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3DFC5" w14:textId="77777777" w:rsidR="00100B45" w:rsidRDefault="00000000">
            <w:pPr>
              <w:spacing w:after="60" w:line="280" w:lineRule="auto"/>
            </w:pPr>
            <w:r>
              <w:t>Downstream of 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C65ED" w14:textId="77777777" w:rsidR="00100B45" w:rsidRDefault="00000000">
            <w:pPr>
              <w:spacing w:after="60" w:line="280" w:lineRule="auto"/>
            </w:pPr>
            <w:r>
              <w:t>Materialized pseudonymized feed derived from the outcome reference store. Query substrate for TCA or any successor analytics entity. No raw identity material; no operational-write paths back into the Engine.</w:t>
            </w:r>
          </w:p>
        </w:tc>
      </w:tr>
      <w:tr w:rsidR="00100B45" w14:paraId="7F8097D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EA0963" w14:textId="77777777" w:rsidR="00100B45" w:rsidRDefault="00000000">
            <w:pPr>
              <w:spacing w:after="60" w:line="280" w:lineRule="auto"/>
            </w:pPr>
            <w:r>
              <w:t>Billing and reconciliation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72129" w14:textId="77777777" w:rsidR="00100B45" w:rsidRDefault="00000000">
            <w:pPr>
              <w:spacing w:after="60" w:line="280" w:lineRule="auto"/>
            </w:pPr>
            <w:r>
              <w:t>Merchandising (3) and Engine-adjacent</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00806" w14:textId="77777777" w:rsidR="00100B45" w:rsidRDefault="00000000">
            <w:pPr>
              <w:spacing w:after="60" w:line="280" w:lineRule="auto"/>
            </w:pPr>
            <w:r>
              <w:t>Metered units (issuance events, sync writes, gas spend, KYC verifications), invoice lineage, reconciliation outcomes. Reads from the Engine’s audit log and chain-cost ledger; does not write to either.</w:t>
            </w:r>
          </w:p>
        </w:tc>
      </w:tr>
    </w:tbl>
    <w:p w14:paraId="034DB56D" w14:textId="77777777" w:rsidR="00100B45" w:rsidRDefault="00000000">
      <w:pPr>
        <w:pStyle w:val="Heading2"/>
      </w:pPr>
      <w:r>
        <w:t>8.3 What must not be in any of these stores</w:t>
      </w:r>
    </w:p>
    <w:p w14:paraId="5735D191" w14:textId="77777777" w:rsidR="00100B45" w:rsidRDefault="00000000">
      <w:pPr>
        <w:spacing w:after="120" w:line="300" w:lineRule="auto"/>
      </w:pPr>
      <w:r>
        <w:t>The negative list is as important as the positive list. The following must not appear anywhere outside the identity vault, and even there only under encryption and access policy:</w:t>
      </w:r>
    </w:p>
    <w:p w14:paraId="46B57FA5" w14:textId="77777777" w:rsidR="00100B45" w:rsidRDefault="00000000">
      <w:pPr>
        <w:pStyle w:val="ListParagraph"/>
        <w:numPr>
          <w:ilvl w:val="0"/>
          <w:numId w:val="2"/>
        </w:numPr>
        <w:spacing w:after="80" w:line="300" w:lineRule="auto"/>
      </w:pPr>
      <w:r>
        <w:lastRenderedPageBreak/>
        <w:t>Raw UUIDs that map directly to identity outside the vault.</w:t>
      </w:r>
    </w:p>
    <w:p w14:paraId="3BEEB0DD" w14:textId="77777777" w:rsidR="00100B45" w:rsidRDefault="00000000">
      <w:pPr>
        <w:pStyle w:val="ListParagraph"/>
        <w:numPr>
          <w:ilvl w:val="0"/>
          <w:numId w:val="2"/>
        </w:numPr>
        <w:spacing w:after="80" w:line="300" w:lineRule="auto"/>
      </w:pPr>
      <w:r>
        <w:t>Plaintext wallet-to-identity mappings.</w:t>
      </w:r>
    </w:p>
    <w:p w14:paraId="4F03D28B" w14:textId="77777777" w:rsidR="00100B45" w:rsidRDefault="00000000">
      <w:pPr>
        <w:pStyle w:val="ListParagraph"/>
        <w:numPr>
          <w:ilvl w:val="0"/>
          <w:numId w:val="2"/>
        </w:numPr>
        <w:spacing w:after="80" w:line="300" w:lineRule="auto"/>
      </w:pPr>
      <w:r>
        <w:t>Government IDs, addresses, names, KYC documents in any store except the identity vault.</w:t>
      </w:r>
    </w:p>
    <w:p w14:paraId="60B10A8B" w14:textId="77777777" w:rsidR="00100B45" w:rsidRDefault="00000000">
      <w:pPr>
        <w:pStyle w:val="ListParagraph"/>
        <w:numPr>
          <w:ilvl w:val="0"/>
          <w:numId w:val="2"/>
        </w:numPr>
        <w:spacing w:after="80" w:line="300" w:lineRule="auto"/>
      </w:pPr>
      <w:r>
        <w:t>Free-form metadata fields capable of carrying value-determining data. All metadata is enum-restricted with code-level invariants.</w:t>
      </w:r>
    </w:p>
    <w:p w14:paraId="02EE4D7E" w14:textId="77777777" w:rsidR="00100B45" w:rsidRDefault="00000000">
      <w:pPr>
        <w:pStyle w:val="ListParagraph"/>
        <w:numPr>
          <w:ilvl w:val="0"/>
          <w:numId w:val="2"/>
        </w:numPr>
        <w:spacing w:after="80" w:line="300" w:lineRule="auto"/>
      </w:pPr>
      <w:r>
        <w:t>Calculated economic outcomes. The Engine stores references to determinations made elsewhere; it does not compute, hold, or settle them. Per Rev 2 §5.3, this is enforceable at code review.</w:t>
      </w:r>
    </w:p>
    <w:p w14:paraId="0B1F89D5" w14:textId="77777777" w:rsidR="00100B45" w:rsidRDefault="00000000">
      <w:pPr>
        <w:pStyle w:val="ListParagraph"/>
        <w:numPr>
          <w:ilvl w:val="0"/>
          <w:numId w:val="2"/>
        </w:numPr>
        <w:spacing w:after="80" w:line="300" w:lineRule="auto"/>
      </w:pPr>
      <w:r>
        <w:t>Cross-workflow correlation indexes that re-identify users by aggregating their workflow participation. Per-workflow mapping only; cross-workflow analysis requires a separately audited service.</w:t>
      </w:r>
    </w:p>
    <w:p w14:paraId="53F7668E" w14:textId="77777777" w:rsidR="00100B45" w:rsidRDefault="00000000">
      <w:pPr>
        <w:pStyle w:val="Heading2"/>
      </w:pPr>
      <w:r>
        <w:t>8.4 Sequencing the database build</w:t>
      </w:r>
    </w:p>
    <w:p w14:paraId="55262C91" w14:textId="77777777" w:rsidR="00100B45" w:rsidRDefault="00000000">
      <w:pPr>
        <w:spacing w:after="120" w:line="300" w:lineRule="auto"/>
      </w:pPr>
      <w:r>
        <w:t>Not all stores need to exist at v1. A reasonable sequencing, mapped to the critical-path steps in the Implementation Memo §12:</w:t>
      </w:r>
    </w:p>
    <w:p w14:paraId="3488A32C" w14:textId="77777777" w:rsidR="00100B45" w:rsidRDefault="00000000">
      <w:pPr>
        <w:pStyle w:val="ListParagraph"/>
        <w:numPr>
          <w:ilvl w:val="0"/>
          <w:numId w:val="2"/>
        </w:numPr>
        <w:spacing w:after="80" w:line="300" w:lineRule="auto"/>
      </w:pPr>
      <w:r>
        <w:rPr>
          <w:b/>
          <w:bCs/>
        </w:rPr>
        <w:t xml:space="preserve">v1 mandatory: </w:t>
      </w:r>
      <w:r>
        <w:t>identity vault, credential-state mirror, outcome reference store, audit log, sync pipeline state, chain registry, controlled-vocabulary registry, commercial/merchandising store, KYC workflow store, document custody store, customer support store, billing store.</w:t>
      </w:r>
    </w:p>
    <w:p w14:paraId="78E8A96B" w14:textId="77777777" w:rsidR="00100B45" w:rsidRDefault="00000000">
      <w:pPr>
        <w:pStyle w:val="ListParagraph"/>
        <w:numPr>
          <w:ilvl w:val="0"/>
          <w:numId w:val="2"/>
        </w:numPr>
        <w:spacing w:after="80" w:line="300" w:lineRule="auto"/>
      </w:pPr>
      <w:r>
        <w:rPr>
          <w:b/>
          <w:bCs/>
        </w:rPr>
        <w:t xml:space="preserve">v1 deferred but stubbed: </w:t>
      </w:r>
      <w:r>
        <w:t>analytics feed store. The Engine should produce a feed-shaped record from day one even if no downstream consumer exists yet; retrofitting a feed shape after the fact is far harder than emitting one from the start.</w:t>
      </w:r>
    </w:p>
    <w:p w14:paraId="10B8774B" w14:textId="77777777" w:rsidR="00100B45" w:rsidRDefault="00000000">
      <w:pPr>
        <w:pStyle w:val="ListParagraph"/>
        <w:numPr>
          <w:ilvl w:val="0"/>
          <w:numId w:val="2"/>
        </w:numPr>
        <w:spacing w:after="80" w:line="300" w:lineRule="auto"/>
      </w:pPr>
      <w:r>
        <w:rPr>
          <w:b/>
          <w:bCs/>
        </w:rPr>
        <w:t xml:space="preserve">v2 additions: </w:t>
      </w:r>
      <w:r>
        <w:t>ERC-4337 co-signer and recovery state, session-key registry. These attach to the credential-state mirror but introduce new sensitive data that warrants a separate access policy.</w:t>
      </w:r>
    </w:p>
    <w:p w14:paraId="0FC530D2" w14:textId="77777777" w:rsidR="00100B45" w:rsidRDefault="00000000">
      <w:pPr>
        <w:pStyle w:val="Heading2"/>
      </w:pPr>
      <w:r>
        <w:t>8.5 A note on storage technology choices</w:t>
      </w:r>
    </w:p>
    <w:p w14:paraId="1AEEA116" w14:textId="77777777" w:rsidR="00100B45" w:rsidRDefault="00000000">
      <w:pPr>
        <w:spacing w:after="120" w:line="300" w:lineRule="auto"/>
      </w:pPr>
      <w:r>
        <w:t>This memo deliberately does not prescribe specific database products. The store-by-store decomposition above is the architectural commitment; the technology choices for each store (relational, document, append-only ledger, object store, encrypted KV) will be made in the detailed engineering specification and should be driven by the access patterns, retention needs, and audit posture of each store individually. The risk to avoid is the opposite one: choosing a single technology and forcing all twelve stores into it for operational convenience. The sensitivity gradient is too steep for that to be safe.</w:t>
      </w:r>
    </w:p>
    <w:p w14:paraId="4FA696B1" w14:textId="77777777" w:rsidR="00100B45" w:rsidRDefault="00000000">
      <w:pPr>
        <w:pStyle w:val="Heading1"/>
      </w:pPr>
      <w:r>
        <w:t>9. Implications for the forthcoming TCNWFT design</w:t>
      </w:r>
    </w:p>
    <w:p w14:paraId="44EFEC00" w14:textId="77777777" w:rsidR="00100B45" w:rsidRDefault="00000000">
      <w:pPr>
        <w:spacing w:after="120" w:line="300" w:lineRule="auto"/>
      </w:pPr>
      <w:r>
        <w:t>The Implementation Memo Rev 2 made the separation between TCT credentials and TCN workflow tokens explicit at the ID-range level (§4.2). The TCNWFT design now beginning should inherit two operational corollaries from this memo:</w:t>
      </w:r>
    </w:p>
    <w:p w14:paraId="433DA4D3" w14:textId="77777777" w:rsidR="00100B45" w:rsidRDefault="00000000">
      <w:pPr>
        <w:pStyle w:val="ListParagraph"/>
        <w:numPr>
          <w:ilvl w:val="0"/>
          <w:numId w:val="2"/>
        </w:numPr>
        <w:spacing w:after="80" w:line="300" w:lineRule="auto"/>
      </w:pPr>
      <w:r>
        <w:rPr>
          <w:b/>
          <w:bCs/>
        </w:rPr>
        <w:lastRenderedPageBreak/>
        <w:t xml:space="preserve">TCNWFT is consumed by the Engine but produced by TCN. </w:t>
      </w:r>
      <w:r>
        <w:t>The Engine listens to TCN workflow token events through the same adapter and normalizer pipeline that processes any other outcome. From the Engine’s point of view, a TCNWFT lifecycle event is just another canonical event. The TCNWFT design should produce events in the canonical schema so that the existing Engine pipeline can ingest them without special-casing.</w:t>
      </w:r>
    </w:p>
    <w:p w14:paraId="2EE910EA" w14:textId="77777777" w:rsidR="00100B45" w:rsidRDefault="00000000">
      <w:pPr>
        <w:pStyle w:val="ListParagraph"/>
        <w:numPr>
          <w:ilvl w:val="0"/>
          <w:numId w:val="2"/>
        </w:numPr>
        <w:spacing w:after="80" w:line="300" w:lineRule="auto"/>
      </w:pPr>
      <w:r>
        <w:rPr>
          <w:b/>
          <w:bCs/>
        </w:rPr>
        <w:t xml:space="preserve">TCNWFT may have its own database needs that mirror, but do not collapse into, the Engine’s. </w:t>
      </w:r>
      <w:r>
        <w:t>If TCNWFT carries workflow-position state, that state lives on the TCN side. The Engine references it through offchain_authority_ref and result_payload references; it does not store it. Avoid the temptation to widen the Engine’s outcome reference store to hold TCNWFT state; that path leads to the value-determination conflation the architecture is built to prevent.</w:t>
      </w:r>
    </w:p>
    <w:p w14:paraId="3E3AA7D1" w14:textId="77777777" w:rsidR="00100B45" w:rsidRDefault="00000000">
      <w:pPr>
        <w:pStyle w:val="ListParagraph"/>
        <w:numPr>
          <w:ilvl w:val="0"/>
          <w:numId w:val="2"/>
        </w:numPr>
        <w:spacing w:after="80" w:line="300" w:lineRule="auto"/>
      </w:pPr>
      <w:r>
        <w:rPr>
          <w:b/>
          <w:bCs/>
        </w:rPr>
        <w:t xml:space="preserve">TCNWFT pricing and merchandising, if any, are TCN's commercial surface and not TCM’s. </w:t>
      </w:r>
      <w:r>
        <w:t xml:space="preserve">The TCM storefront sells access credentials (TCTs); </w:t>
      </w:r>
      <w:r w:rsidRPr="007A04BF">
        <w:rPr>
          <w:b/>
          <w:bCs/>
          <w:i/>
          <w:iCs/>
          <w:u w:val="single"/>
        </w:rPr>
        <w:t xml:space="preserve">TCN, separately, may price workflow services per </w:t>
      </w:r>
      <w:commentRangeStart w:id="3"/>
      <w:r w:rsidRPr="007A04BF">
        <w:rPr>
          <w:b/>
          <w:bCs/>
          <w:i/>
          <w:iCs/>
          <w:u w:val="single"/>
        </w:rPr>
        <w:t>workflow</w:t>
      </w:r>
      <w:commentRangeEnd w:id="3"/>
      <w:r w:rsidR="007A04BF">
        <w:rPr>
          <w:rStyle w:val="CommentReference"/>
          <w:sz w:val="22"/>
          <w:szCs w:val="22"/>
        </w:rPr>
        <w:commentReference w:id="3"/>
      </w:r>
      <w:r>
        <w:t>. Keeping the commercial surfaces separated mirrors the architectural separation and avoids the cross-contamination of revenue models.</w:t>
      </w:r>
    </w:p>
    <w:p w14:paraId="6B44C95A" w14:textId="77777777" w:rsidR="00100B45" w:rsidRDefault="00000000">
      <w:pPr>
        <w:pStyle w:val="Heading1"/>
      </w:pPr>
      <w:r>
        <w:t>10. Closing</w:t>
      </w:r>
    </w:p>
    <w:p w14:paraId="48ED6606" w14:textId="77777777" w:rsidR="00100B45" w:rsidRDefault="00000000">
      <w:pPr>
        <w:spacing w:after="120" w:line="300" w:lineRule="auto"/>
      </w:pPr>
      <w:r>
        <w:t>The TCT is the artifact. The TokenCap Token Engine is the kernel that produces and maintains it. The TCM website is the place where all of this becomes visible to the people who buy, hold, and operate it. Naming the four operational aspects explicitly — the TCT, the Engine, merchandising, and post-purchase operations — gives every staff function a stable referent for what they are building and where their work lives in the larger system. Holding the database picture as a portfolio of distinct stores rather than as a single database is the operational expression of the same discipline.</w:t>
      </w:r>
    </w:p>
    <w:p w14:paraId="566FD669" w14:textId="77777777" w:rsidR="00100B45" w:rsidRDefault="00000000">
      <w:pPr>
        <w:spacing w:after="120" w:line="300" w:lineRule="auto"/>
      </w:pPr>
      <w:r>
        <w:t>The TCT Implementation Memorandum (Rev 2) is the definitional baseline; this memo extends it to the TCM website and the data architecture beneath. The TCNWFT design begins from the same baseline and inherits the same constraints. Staff should treat these documents as a set, and should raise any drift between them as a Sev-1 architectural issue rather than a documentation issue.</w:t>
      </w:r>
    </w:p>
    <w:p w14:paraId="1B815902" w14:textId="77777777" w:rsidR="00100B45" w:rsidRDefault="00000000">
      <w:pPr>
        <w:spacing w:after="120" w:line="300" w:lineRule="auto"/>
      </w:pPr>
      <w:r>
        <w:t>Questions, gaps, and proposed amendments should go through the same review path as the Implementation Memo. As with that document, the goal is to converge on a baseline that the engineering, commercial, compliance, and legal functions can build against in parallel.</w:t>
      </w:r>
    </w:p>
    <w:sectPr w:rsidR="00100B45">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Berry" w:date="2026-05-19T09:29:00Z" w:initials="MB">
    <w:p w14:paraId="582A9224" w14:textId="77777777" w:rsidR="00C24FBF" w:rsidRDefault="00C24FBF" w:rsidP="00C24FBF">
      <w:pPr>
        <w:pStyle w:val="CommentText"/>
      </w:pPr>
      <w:r>
        <w:rPr>
          <w:rStyle w:val="CommentReference"/>
        </w:rPr>
        <w:annotationRef/>
      </w:r>
      <w:r>
        <w:t xml:space="preserve">Maybe not at purchase, this would happen and set off the smart contract message that the TCT owner instructs his bank to send funds to the escrow account. </w:t>
      </w:r>
    </w:p>
  </w:comment>
  <w:comment w:id="1" w:author="Michael Berry" w:date="2026-05-19T09:38:00Z" w:initials="MB">
    <w:p w14:paraId="3C60F825" w14:textId="77777777" w:rsidR="00260D81" w:rsidRDefault="00260D81" w:rsidP="00260D81">
      <w:pPr>
        <w:pStyle w:val="CommentText"/>
      </w:pPr>
      <w:r>
        <w:rPr>
          <w:rStyle w:val="CommentReference"/>
        </w:rPr>
        <w:annotationRef/>
      </w:r>
      <w:r>
        <w:t xml:space="preserve">And it may not be a 2678/TCM database. We may have access to the DB but we may not be the one’s owning/maintaining it. </w:t>
      </w:r>
    </w:p>
  </w:comment>
  <w:comment w:id="2" w:author="Michael Berry" w:date="2026-05-19T09:43:00Z" w:initials="MB">
    <w:p w14:paraId="5317D7F3" w14:textId="77777777" w:rsidR="00260D81" w:rsidRDefault="00260D81" w:rsidP="00260D81">
      <w:pPr>
        <w:pStyle w:val="CommentText"/>
      </w:pPr>
      <w:r>
        <w:rPr>
          <w:rStyle w:val="CommentReference"/>
        </w:rPr>
        <w:annotationRef/>
      </w:r>
      <w:r>
        <w:t>This may not be true. As to the off-chain activity documents I am looking for the data (and attestation of the accuracy of that data) as opposed to the documents themselves. I am not sure I want that risk, its similar to PII risk.</w:t>
      </w:r>
    </w:p>
  </w:comment>
  <w:comment w:id="3" w:author="Michael Berry" w:date="2026-05-19T09:47:00Z" w:initials="MB">
    <w:p w14:paraId="33D50E5C" w14:textId="77777777" w:rsidR="007A04BF" w:rsidRDefault="007A04BF" w:rsidP="007A04BF">
      <w:pPr>
        <w:pStyle w:val="CommentText"/>
      </w:pPr>
      <w:r>
        <w:rPr>
          <w:rStyle w:val="CommentReference"/>
        </w:rPr>
        <w:annotationRef/>
      </w:r>
      <w:r>
        <w:t>Good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A9224" w15:done="0"/>
  <w15:commentEx w15:paraId="3C60F825" w15:done="0"/>
  <w15:commentEx w15:paraId="5317D7F3" w15:done="0"/>
  <w15:commentEx w15:paraId="33D50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A21B9E" w16cex:dateUtc="2026-05-19T14:29:00Z"/>
  <w16cex:commentExtensible w16cex:durableId="236DD80D" w16cex:dateUtc="2026-05-19T14:38:00Z"/>
  <w16cex:commentExtensible w16cex:durableId="48A1C651" w16cex:dateUtc="2026-05-19T14:43:00Z"/>
  <w16cex:commentExtensible w16cex:durableId="5236E3E6" w16cex:dateUtc="2026-05-19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A9224" w16cid:durableId="62A21B9E"/>
  <w16cid:commentId w16cid:paraId="3C60F825" w16cid:durableId="236DD80D"/>
  <w16cid:commentId w16cid:paraId="5317D7F3" w16cid:durableId="48A1C651"/>
  <w16cid:commentId w16cid:paraId="33D50E5C" w16cid:durableId="5236E3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2761" w14:textId="77777777" w:rsidR="001D7FBF" w:rsidRDefault="001D7FBF">
      <w:r>
        <w:separator/>
      </w:r>
    </w:p>
  </w:endnote>
  <w:endnote w:type="continuationSeparator" w:id="0">
    <w:p w14:paraId="784713F1" w14:textId="77777777" w:rsidR="001D7FBF" w:rsidRDefault="001D7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0E8B" w14:textId="77777777" w:rsidR="00100B4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D56A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D56A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F8F5" w14:textId="77777777" w:rsidR="001D7FBF" w:rsidRDefault="001D7FBF">
      <w:r>
        <w:separator/>
      </w:r>
    </w:p>
  </w:footnote>
  <w:footnote w:type="continuationSeparator" w:id="0">
    <w:p w14:paraId="23D84CD6" w14:textId="77777777" w:rsidR="001D7FBF" w:rsidRDefault="001D7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13FA" w14:textId="77777777" w:rsidR="00100B45" w:rsidRDefault="00000000">
    <w:pPr>
      <w:jc w:val="right"/>
    </w:pPr>
    <w:r>
      <w:rPr>
        <w:i/>
        <w:iCs/>
        <w:color w:val="595959"/>
        <w:sz w:val="18"/>
        <w:szCs w:val="18"/>
      </w:rPr>
      <w:t>2678 Holdings LLC — Internal — Staff Memo: TokenCap Token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1628"/>
    <w:multiLevelType w:val="hybridMultilevel"/>
    <w:tmpl w:val="4D867366"/>
    <w:lvl w:ilvl="0" w:tplc="8EF24C28">
      <w:start w:val="1"/>
      <w:numFmt w:val="bullet"/>
      <w:lvlText w:val="•"/>
      <w:lvlJc w:val="left"/>
      <w:pPr>
        <w:ind w:left="720" w:hanging="360"/>
      </w:pPr>
    </w:lvl>
    <w:lvl w:ilvl="1" w:tplc="F9CA61A4">
      <w:numFmt w:val="decimal"/>
      <w:lvlText w:val=""/>
      <w:lvlJc w:val="left"/>
    </w:lvl>
    <w:lvl w:ilvl="2" w:tplc="3878AA72">
      <w:numFmt w:val="decimal"/>
      <w:lvlText w:val=""/>
      <w:lvlJc w:val="left"/>
    </w:lvl>
    <w:lvl w:ilvl="3" w:tplc="4F54D6AE">
      <w:numFmt w:val="decimal"/>
      <w:lvlText w:val=""/>
      <w:lvlJc w:val="left"/>
    </w:lvl>
    <w:lvl w:ilvl="4" w:tplc="7064261C">
      <w:numFmt w:val="decimal"/>
      <w:lvlText w:val=""/>
      <w:lvlJc w:val="left"/>
    </w:lvl>
    <w:lvl w:ilvl="5" w:tplc="6C404AA6">
      <w:numFmt w:val="decimal"/>
      <w:lvlText w:val=""/>
      <w:lvlJc w:val="left"/>
    </w:lvl>
    <w:lvl w:ilvl="6" w:tplc="27C4CE00">
      <w:numFmt w:val="decimal"/>
      <w:lvlText w:val=""/>
      <w:lvlJc w:val="left"/>
    </w:lvl>
    <w:lvl w:ilvl="7" w:tplc="7B0A9A3C">
      <w:numFmt w:val="decimal"/>
      <w:lvlText w:val=""/>
      <w:lvlJc w:val="left"/>
    </w:lvl>
    <w:lvl w:ilvl="8" w:tplc="7E2E2E5E">
      <w:numFmt w:val="decimal"/>
      <w:lvlText w:val=""/>
      <w:lvlJc w:val="left"/>
    </w:lvl>
  </w:abstractNum>
  <w:abstractNum w:abstractNumId="1" w15:restartNumberingAfterBreak="0">
    <w:nsid w:val="6A9E063A"/>
    <w:multiLevelType w:val="hybridMultilevel"/>
    <w:tmpl w:val="252EE0A0"/>
    <w:lvl w:ilvl="0" w:tplc="EBEA1122">
      <w:start w:val="1"/>
      <w:numFmt w:val="bullet"/>
      <w:lvlText w:val="●"/>
      <w:lvlJc w:val="left"/>
      <w:pPr>
        <w:ind w:left="720" w:hanging="360"/>
      </w:pPr>
    </w:lvl>
    <w:lvl w:ilvl="1" w:tplc="B8C4AC84">
      <w:start w:val="1"/>
      <w:numFmt w:val="bullet"/>
      <w:lvlText w:val="○"/>
      <w:lvlJc w:val="left"/>
      <w:pPr>
        <w:ind w:left="1440" w:hanging="360"/>
      </w:pPr>
    </w:lvl>
    <w:lvl w:ilvl="2" w:tplc="CCE0246C">
      <w:start w:val="1"/>
      <w:numFmt w:val="bullet"/>
      <w:lvlText w:val="■"/>
      <w:lvlJc w:val="left"/>
      <w:pPr>
        <w:ind w:left="2160" w:hanging="360"/>
      </w:pPr>
    </w:lvl>
    <w:lvl w:ilvl="3" w:tplc="CFAC96E2">
      <w:start w:val="1"/>
      <w:numFmt w:val="bullet"/>
      <w:lvlText w:val="●"/>
      <w:lvlJc w:val="left"/>
      <w:pPr>
        <w:ind w:left="2880" w:hanging="360"/>
      </w:pPr>
    </w:lvl>
    <w:lvl w:ilvl="4" w:tplc="F710E582">
      <w:start w:val="1"/>
      <w:numFmt w:val="bullet"/>
      <w:lvlText w:val="○"/>
      <w:lvlJc w:val="left"/>
      <w:pPr>
        <w:ind w:left="3600" w:hanging="360"/>
      </w:pPr>
    </w:lvl>
    <w:lvl w:ilvl="5" w:tplc="59AA265E">
      <w:start w:val="1"/>
      <w:numFmt w:val="bullet"/>
      <w:lvlText w:val="■"/>
      <w:lvlJc w:val="left"/>
      <w:pPr>
        <w:ind w:left="4320" w:hanging="360"/>
      </w:pPr>
    </w:lvl>
    <w:lvl w:ilvl="6" w:tplc="562896C8">
      <w:start w:val="1"/>
      <w:numFmt w:val="bullet"/>
      <w:lvlText w:val="●"/>
      <w:lvlJc w:val="left"/>
      <w:pPr>
        <w:ind w:left="5040" w:hanging="360"/>
      </w:pPr>
    </w:lvl>
    <w:lvl w:ilvl="7" w:tplc="1F428BA0">
      <w:start w:val="1"/>
      <w:numFmt w:val="bullet"/>
      <w:lvlText w:val="●"/>
      <w:lvlJc w:val="left"/>
      <w:pPr>
        <w:ind w:left="5760" w:hanging="360"/>
      </w:pPr>
    </w:lvl>
    <w:lvl w:ilvl="8" w:tplc="E904DACA">
      <w:start w:val="1"/>
      <w:numFmt w:val="bullet"/>
      <w:lvlText w:val="●"/>
      <w:lvlJc w:val="left"/>
      <w:pPr>
        <w:ind w:left="6480" w:hanging="360"/>
      </w:pPr>
    </w:lvl>
  </w:abstractNum>
  <w:num w:numId="1" w16cid:durableId="1601526403">
    <w:abstractNumId w:val="1"/>
    <w:lvlOverride w:ilvl="0">
      <w:startOverride w:val="1"/>
    </w:lvlOverride>
  </w:num>
  <w:num w:numId="2" w16cid:durableId="58657976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erry">
    <w15:presenceInfo w15:providerId="AD" w15:userId="S::mrb@2678holdings.com::e5f3bdc2-6334-41e5-9300-f43940320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B45"/>
    <w:rsid w:val="00100B45"/>
    <w:rsid w:val="001D7FBF"/>
    <w:rsid w:val="00260D81"/>
    <w:rsid w:val="005D56A7"/>
    <w:rsid w:val="007A04BF"/>
    <w:rsid w:val="009E7A03"/>
    <w:rsid w:val="00C24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BE0DB"/>
  <w15:docId w15:val="{2E041CEC-424D-4F9A-A878-5146FFFA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24FBF"/>
    <w:rPr>
      <w:sz w:val="16"/>
      <w:szCs w:val="16"/>
    </w:rPr>
  </w:style>
  <w:style w:type="paragraph" w:styleId="CommentText">
    <w:name w:val="annotation text"/>
    <w:basedOn w:val="Normal"/>
    <w:link w:val="CommentTextChar"/>
    <w:uiPriority w:val="99"/>
    <w:unhideWhenUsed/>
    <w:rsid w:val="00C24FBF"/>
    <w:rPr>
      <w:sz w:val="20"/>
      <w:szCs w:val="20"/>
    </w:rPr>
  </w:style>
  <w:style w:type="character" w:customStyle="1" w:styleId="CommentTextChar">
    <w:name w:val="Comment Text Char"/>
    <w:basedOn w:val="DefaultParagraphFont"/>
    <w:link w:val="CommentText"/>
    <w:uiPriority w:val="99"/>
    <w:rsid w:val="00C24FBF"/>
    <w:rPr>
      <w:sz w:val="20"/>
      <w:szCs w:val="20"/>
    </w:rPr>
  </w:style>
  <w:style w:type="paragraph" w:styleId="CommentSubject">
    <w:name w:val="annotation subject"/>
    <w:basedOn w:val="CommentText"/>
    <w:next w:val="CommentText"/>
    <w:link w:val="CommentSubjectChar"/>
    <w:uiPriority w:val="99"/>
    <w:semiHidden/>
    <w:unhideWhenUsed/>
    <w:rsid w:val="00C24FBF"/>
    <w:rPr>
      <w:b/>
      <w:bCs/>
    </w:rPr>
  </w:style>
  <w:style w:type="character" w:customStyle="1" w:styleId="CommentSubjectChar">
    <w:name w:val="Comment Subject Char"/>
    <w:basedOn w:val="CommentTextChar"/>
    <w:link w:val="CommentSubject"/>
    <w:uiPriority w:val="99"/>
    <w:semiHidden/>
    <w:rsid w:val="00C24F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61C3B-391A-4366-9972-15479224C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4405</Words>
  <Characters>26170</Characters>
  <Application>Microsoft Office Word</Application>
  <DocSecurity>0</DocSecurity>
  <Lines>594</Lines>
  <Paragraphs>261</Paragraphs>
  <ScaleCrop>false</ScaleCrop>
  <HeadingPairs>
    <vt:vector size="2" baseType="variant">
      <vt:variant>
        <vt:lpstr>Title</vt:lpstr>
      </vt:variant>
      <vt:variant>
        <vt:i4>1</vt:i4>
      </vt:variant>
    </vt:vector>
  </HeadingPairs>
  <TitlesOfParts>
    <vt:vector size="1" baseType="lpstr">
      <vt:lpstr>TokenCap Token Engine — Staff Memo</vt:lpstr>
    </vt:vector>
  </TitlesOfParts>
  <Company/>
  <LinksUpToDate>false</LinksUpToDate>
  <CharactersWithSpaces>30314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TokenCap Token Engine — Staff Memo</dc:title>
  <dc:creator>2678 Holdings LLC</dc:creator>
  <dc:description>Role of the TokenCap Token Engine within TCM and database considerations across the four operational aspects of the TCM website.</dc:description>
  <cp:lastModifiedBy>Michael Berry</cp:lastModifiedBy>
  <cp:revision>2</cp:revision>
  <dcterms:created xsi:type="dcterms:W3CDTF">2026-05-19T14:48:00Z</dcterms:created>
  <dcterms:modified xsi:type="dcterms:W3CDTF">2026-05-19T14:48:00Z</dcterms:modified>
</cp:coreProperties>
</file>