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40"/>
              <w:left w:type="dxa" w:w="280"/>
              <w:bottom w:type="dxa" w:w="240"/>
              <w:right w:type="dxa" w:w="280"/>
            </w:tcMar>
          </w:tcPr>
          <w:p>
            <w:pPr>
              <w:spacing w:after="60" w:before="0"/>
            </w:pPr>
            <w:r>
              <w:rPr>
                <w:rFonts w:ascii="Arial" w:cs="Arial" w:eastAsia="Arial" w:hAnsi="Arial"/>
                <w:b/>
                <w:bCs/>
                <w:color w:val="C9A84C"/>
                <w:sz w:val="16"/>
                <w:szCs w:val="16"/>
              </w:rPr>
              <w:t xml:space="preserve">TOKENCAP ADVISORS LLC  |  2678 HOLDINGS LLC</w:t>
            </w:r>
          </w:p>
          <w:p>
            <w:pPr>
              <w:spacing w:after="100" w:before="0"/>
            </w:pPr>
            <w:r>
              <w:rPr>
                <w:rFonts w:ascii="Arial" w:cs="Arial" w:eastAsia="Arial" w:hAnsi="Arial"/>
                <w:b/>
                <w:bCs/>
                <w:color w:val="AAAAAA"/>
                <w:sz w:val="14"/>
                <w:szCs w:val="14"/>
              </w:rPr>
              <w:t xml:space="preserve">INTERNAL TECHNICAL MEMORANDUM</w:t>
            </w:r>
          </w:p>
          <w:p>
            <w:pPr>
              <w:spacing w:after="40" w:before="100"/>
            </w:pPr>
            <w:r>
              <w:rPr>
                <w:rFonts w:ascii="Arial" w:cs="Arial" w:eastAsia="Arial" w:hAnsi="Arial"/>
                <w:b/>
                <w:bCs/>
                <w:color w:val="FFFFFF"/>
                <w:sz w:val="36"/>
                <w:szCs w:val="36"/>
              </w:rPr>
              <w:t xml:space="preserve">Senior Systems Engineer — Role Briefing</w:t>
            </w:r>
          </w:p>
          <w:p>
            <w:pPr>
              <w:spacing w:after="0" w:before="40"/>
            </w:pPr>
            <w:r>
              <w:rPr>
                <w:rFonts w:ascii="Arial" w:cs="Arial" w:eastAsia="Arial" w:hAnsi="Arial"/>
                <w:color w:val="CCCCCC"/>
                <w:sz w:val="22"/>
                <w:szCs w:val="22"/>
              </w:rPr>
              <w:t xml:space="preserve">Reference Engine Build: Infrastructure Scope, Work Packages, and Operating Responsibilities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TO</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Senior Systems Engineer (Candidate)</w:t>
            </w:r>
          </w:p>
        </w:tc>
      </w:tr>
      <w:tr>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FROM</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MRB, Principal — 2678 Holdings LLC</w:t>
            </w:r>
          </w:p>
        </w:tc>
      </w:tr>
      <w:tr>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DATE</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June 2026</w:t>
            </w:r>
          </w:p>
        </w:tc>
      </w:tr>
      <w:tr>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RE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TCA Reference Engine — SE Role Scope, Work Packages, and Ongoing Responsibilities</w:t>
            </w:r>
          </w:p>
        </w:tc>
      </w:tr>
      <w:tr>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DOC ID</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TCA-MEMO-2026-SE-BRIEF-001</w:t>
            </w:r>
          </w:p>
        </w:tc>
      </w:tr>
      <w:tr>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REFS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TCA-TRD-2026-REFENG-001_Final_v1.0; TCA-DBSPEC-2026-REFENG-001; TCA-WORKPLAN-2026-RI-001; TCA-REFENG-DATAARCH-2026-FINAL-001</w:t>
            </w:r>
          </w:p>
        </w:tc>
      </w:tr>
      <w:tr>
        <w:tc>
          <w:tcPr>
            <w:tcW w:type="dxa" w:w="22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r>
              <w:rPr>
                <w:rFonts w:ascii="Arial" w:cs="Arial" w:eastAsia="Arial" w:hAnsi="Arial"/>
                <w:b/>
                <w:bCs/>
                <w:i w:val="false"/>
                <w:iCs w:val="false"/>
                <w:color w:val="000000"/>
                <w:sz w:val="18"/>
                <w:szCs w:val="18"/>
              </w:rPr>
              <w:t xml:space="preserve">CLASSIFICATION</w:t>
            </w:r>
          </w:p>
        </w:tc>
        <w:tc>
          <w:tcPr>
            <w:tcW w:type="dxa" w:w="7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Confidential — Pre-Engagement Briefing</w:t>
            </w:r>
          </w:p>
        </w:tc>
      </w:tr>
    </w:tbl>
    <w:p>
      <w:pPr>
        <w:spacing w:after="0" w:before="80"/>
      </w:pPr>
      <w:r>
        <w:t xml:space="preserve"/>
      </w:r>
    </w:p>
    <w:p>
      <w:pPr>
        <w:pBdr>
          <w:bottom w:val="single" w:color="D9E1F2" w:sz="4" w:space="1"/>
        </w:pBdr>
        <w:spacing w:after="120" w:before="120"/>
      </w:pPr>
      <w:r>
        <w:t xml:space="preserve"/>
      </w:r>
    </w:p>
    <w:p>
      <w:pPr>
        <w:spacing w:after="0" w:before="80"/>
      </w:pPr>
      <w:r>
        <w:t xml:space="preserve"/>
      </w:r>
    </w:p>
    <w:p>
      <w:pPr>
        <w:pStyle w:val="Heading1"/>
        <w:spacing w:after="160" w:before="300"/>
      </w:pPr>
      <w:r>
        <w:rPr>
          <w:rFonts w:ascii="Arial" w:cs="Arial" w:eastAsia="Arial" w:hAnsi="Arial"/>
          <w:b/>
          <w:bCs/>
          <w:color w:val="1F3864"/>
          <w:sz w:val="26"/>
          <w:szCs w:val="26"/>
        </w:rPr>
        <w:t xml:space="preserve">1.  Purpose</w:t>
      </w:r>
    </w:p>
    <w:p>
      <w:pPr>
        <w:spacing w:after="60" w:before="60"/>
      </w:pPr>
      <w:r>
        <w:rPr>
          <w:rFonts w:ascii="Arial" w:cs="Arial" w:eastAsia="Arial" w:hAnsi="Arial"/>
          <w:b w:val="false"/>
          <w:bCs w:val="false"/>
          <w:i w:val="false"/>
          <w:iCs w:val="false"/>
          <w:color w:val="000000"/>
          <w:sz w:val="20"/>
          <w:szCs w:val="20"/>
        </w:rPr>
        <w:t xml:space="preserve">This memorandum is prepared for the individual being interviewed for the Senior Systems Engineer (SE) contractor position supporting the TCA Reference Engine build. Its purpose is to give you an accurate, detailed picture of what the role requires before any engagement agreement is signed — what you will inherit, what you will build, what you will own, and what ongoing responsibilities follow production deployment.</w:t>
      </w:r>
    </w:p>
    <w:p>
      <w:pPr>
        <w:spacing w:after="0" w:before="80"/>
      </w:pPr>
      <w:r>
        <w:t xml:space="preserve"/>
      </w:r>
    </w:p>
    <w:p>
      <w:pPr>
        <w:spacing w:after="60" w:before="60"/>
      </w:pPr>
      <w:r>
        <w:rPr>
          <w:rFonts w:ascii="Arial" w:cs="Arial" w:eastAsia="Arial" w:hAnsi="Arial"/>
          <w:b w:val="false"/>
          <w:bCs w:val="false"/>
          <w:i w:val="false"/>
          <w:iCs w:val="false"/>
          <w:color w:val="000000"/>
          <w:sz w:val="20"/>
          <w:szCs w:val="20"/>
        </w:rPr>
        <w:t xml:space="preserve">We operate a distinctive delivery model. Claude (Anthropic) is the primary application development resource — architecture, code generation, retrieval logic, prompt engineering, and quality testing. Your role is the infrastructure and deployment counterpart: AWS provisioning, database administration, security configuration, CI/CD, and the operational practices that keep the system running after go-live. You will work directly with Claude's output. The ability to work fluently alongside AI-generated code is a functional requirement of this position, not an optional preference.</w:t>
      </w:r>
    </w:p>
    <w:p>
      <w:pPr>
        <w:spacing w:after="0" w:before="80"/>
      </w:pPr>
      <w:r>
        <w:t xml:space="preserve"/>
      </w:r>
    </w:p>
    <w:p>
      <w:pPr>
        <w:pStyle w:val="Heading1"/>
        <w:spacing w:after="160" w:before="300"/>
      </w:pPr>
      <w:r>
        <w:rPr>
          <w:rFonts w:ascii="Arial" w:cs="Arial" w:eastAsia="Arial" w:hAnsi="Arial"/>
          <w:b/>
          <w:bCs/>
          <w:color w:val="1F3864"/>
          <w:sz w:val="26"/>
          <w:szCs w:val="26"/>
        </w:rPr>
        <w:t xml:space="preserve">2.  What You Are Joining</w:t>
      </w:r>
    </w:p>
    <w:p>
      <w:pPr>
        <w:spacing w:after="60" w:before="60"/>
      </w:pPr>
      <w:r>
        <w:rPr>
          <w:rFonts w:ascii="Arial" w:cs="Arial" w:eastAsia="Arial" w:hAnsi="Arial"/>
          <w:b w:val="false"/>
          <w:bCs w:val="false"/>
          <w:i w:val="false"/>
          <w:iCs w:val="false"/>
          <w:color w:val="000000"/>
          <w:sz w:val="20"/>
          <w:szCs w:val="20"/>
        </w:rPr>
        <w:t xml:space="preserve">The TCA Reference Engine is the evidentiary and benchmark infrastructure layer for TokenCap Advisors LLC, a registered investment advisor operating as a subsidiary of 2678 Holdings LLC. The Engine sits between the inbound sponsor submission and the outbound Viability Opinion Report — it is the layer at which sponsor-provided claims are tested against independent authoritative benchmarks before any risk score, viability grade, or capital allocation gate decision is rendered.</w:t>
      </w:r>
    </w:p>
    <w:p>
      <w:pPr>
        <w:spacing w:after="0" w:before="80"/>
      </w:pPr>
      <w:r>
        <w:t xml:space="preserve"/>
      </w:r>
    </w:p>
    <w:p>
      <w:pPr>
        <w:spacing w:after="60" w:before="60"/>
      </w:pPr>
      <w:r>
        <w:rPr>
          <w:rFonts w:ascii="Arial" w:cs="Arial" w:eastAsia="Arial" w:hAnsi="Arial"/>
          <w:b w:val="false"/>
          <w:bCs w:val="false"/>
          <w:i w:val="false"/>
          <w:iCs w:val="false"/>
          <w:color w:val="000000"/>
          <w:sz w:val="20"/>
          <w:szCs w:val="20"/>
        </w:rPr>
        <w:t xml:space="preserve">The system is a production-grade Retrieval-Augmented Generation (RAG) knowledge system built on Amazon Aurora PostgreSQL (pgvector, PostGIS), AWS ECS Fargate, AWS Lambda, Amazon S3, and the Anthropic Claude API for synthesis. It is one of three coordinated engines in the TCA data architecture — the others being the Risk Engine (scoring and grading) and the Onboarding Engine (client and engagement lifecycle). These three engines have documented interfaces and strict database ownership boundaries; they do not share schemas or direct database connections.</w:t>
      </w:r>
    </w:p>
    <w:p>
      <w:pPr>
        <w:spacing w:after="0" w:before="80"/>
      </w:pPr>
      <w:r>
        <w:t xml:space="preserve"/>
      </w:r>
    </w:p>
    <w:p>
      <w:pPr>
        <w:spacing w:after="60" w:before="60"/>
      </w:pPr>
      <w:r>
        <w:rPr>
          <w:rFonts w:ascii="Arial" w:cs="Arial" w:eastAsia="Arial" w:hAnsi="Arial"/>
          <w:b w:val="false"/>
          <w:bCs w:val="false"/>
          <w:i w:val="false"/>
          <w:iCs w:val="false"/>
          <w:color w:val="000000"/>
          <w:sz w:val="20"/>
          <w:szCs w:val="20"/>
        </w:rPr>
        <w:t xml:space="preserve">The Reference Engine is built at the 2678 Holdings layer and consumed across TCA, TCN, and TCM. It is designed to serve E&amp;P, Renewables, Real Estate, and Technology sectors under a single Universal Risk Framework, with sector-specific sub-corpora extending the same underlying architecture. The Texas + Kentucky E&amp;P MVP is the first proof of multi-jurisdiction extensibility and the first production deployment.</w:t>
      </w:r>
    </w:p>
    <w:p>
      <w:pPr>
        <w:spacing w:after="0" w:before="80"/>
      </w:pPr>
      <w:r>
        <w:t xml:space="preserve"/>
      </w:r>
    </w:p>
    <w:p>
      <w:pPr>
        <w:spacing w:after="60" w:before="60"/>
      </w:pPr>
      <w:r>
        <w:rPr>
          <w:rFonts w:ascii="Arial" w:cs="Arial" w:eastAsia="Arial" w:hAnsi="Arial"/>
          <w:b w:val="false"/>
          <w:bCs w:val="false"/>
          <w:i w:val="false"/>
          <w:iCs w:val="false"/>
          <w:color w:val="000000"/>
          <w:sz w:val="20"/>
          <w:szCs w:val="20"/>
        </w:rPr>
        <w:t xml:space="preserve">The governing documentation that defines your build target is extensive and complete. By the time you engage, you will have access to: the Final Technical Requirements Document (TCA-TRD-2026-REFENG-001_Final_v1.0), the Database Specification (TCA-DBSPEC-2026-REFENG-001), the Data Architecture document (TCA-REFENG-DATAARCH-2026-FINAL-001), the Work Plan (TCA-WORKPLAN-2026-RI-001), the 2678 API Developer Guidance, and the Source Build Inventory Model. This is not a project where you will be making architectural decisions from scratch. The architecture is decided. Your job is to execute it correctly.</w:t>
      </w:r>
    </w:p>
    <w:p>
      <w:pPr>
        <w:spacing w:after="0" w:before="80"/>
      </w:pPr>
      <w:r>
        <w:t xml:space="preserve"/>
      </w:r>
    </w:p>
    <w:p>
      <w:pPr>
        <w:pStyle w:val="Heading1"/>
        <w:spacing w:after="160" w:before="300"/>
      </w:pPr>
      <w:r>
        <w:rPr>
          <w:rFonts w:ascii="Arial" w:cs="Arial" w:eastAsia="Arial" w:hAnsi="Arial"/>
          <w:b/>
          <w:bCs/>
          <w:color w:val="1F3864"/>
          <w:sz w:val="26"/>
          <w:szCs w:val="26"/>
        </w:rPr>
        <w:t xml:space="preserve">3.  The Build Model and Your Position in It</w:t>
      </w:r>
    </w:p>
    <w:p>
      <w:pPr>
        <w:spacing w:after="60" w:before="60"/>
      </w:pPr>
      <w:r>
        <w:rPr>
          <w:rFonts w:ascii="Arial" w:cs="Arial" w:eastAsia="Arial" w:hAnsi="Arial"/>
          <w:b w:val="false"/>
          <w:bCs w:val="false"/>
          <w:i w:val="false"/>
          <w:iCs w:val="false"/>
          <w:color w:val="000000"/>
          <w:sz w:val="20"/>
          <w:szCs w:val="20"/>
        </w:rPr>
        <w:t xml:space="preserve">Understanding the delivery model is essential to understanding the SE role. The 2678 Holdings model is explicitly designed as an alternative to conventional vendor-led professional services. The Snowflake Professional Services proposal reviewed in December 2025 came in at $437,000 for a single-sector implementation. The Reference Engine is being built for a fraction of that — approximately $34,500–$44,000 in external cash costs — precisely because Claude does the application work that would otherwise require a team of engineers billing at professional services rates.</w:t>
      </w:r>
    </w:p>
    <w:p>
      <w:pPr>
        <w:spacing w:after="0" w:before="80"/>
      </w:pPr>
      <w:r>
        <w:t xml:space="preserve"/>
      </w:r>
    </w:p>
    <w:p>
      <w:pPr>
        <w:spacing w:after="60" w:before="60"/>
      </w:pPr>
      <w:r>
        <w:rPr>
          <w:rFonts w:ascii="Arial" w:cs="Arial" w:eastAsia="Arial" w:hAnsi="Arial"/>
          <w:b w:val="false"/>
          <w:bCs w:val="false"/>
          <w:i w:val="false"/>
          <w:iCs w:val="false"/>
          <w:color w:val="000000"/>
          <w:sz w:val="20"/>
          <w:szCs w:val="20"/>
        </w:rPr>
        <w:t xml:space="preserve">That means your scope is well-defined and bounded. You are not the application architect. You are not writing the retrieval pipeline, the evidence synthesis logic, or the API handlers. Claude writes that code. What requires a skilled human engineer — and what no AI tool currently handles reliably at production grade — is the infrastructure layer: cloud provisioning, network security, database administration, deployment pipeline, and the operational discipline that comes after go-live. That is your domain.</w:t>
      </w:r>
    </w:p>
    <w:p>
      <w:pPr>
        <w:spacing w:after="0" w:before="80"/>
      </w:pPr>
      <w:r>
        <w:t xml:space="preserve"/>
      </w:r>
    </w:p>
    <w:p>
      <w:pPr>
        <w:spacing w:after="60" w:before="60"/>
      </w:pPr>
      <w:r>
        <w:rPr>
          <w:rFonts w:ascii="Arial" w:cs="Arial" w:eastAsia="Arial" w:hAnsi="Arial"/>
          <w:b w:val="false"/>
          <w:bCs w:val="false"/>
          <w:i w:val="false"/>
          <w:iCs w:val="false"/>
          <w:color w:val="000000"/>
          <w:sz w:val="20"/>
          <w:szCs w:val="20"/>
        </w:rPr>
        <w:t xml:space="preserve">Your primary working relationship is with MRB (Principal, 2678 Holdings LLC) as product owner and Stan Hua as Senior Technology Advisor providing cross-entity technical oversight. Stan's role is governance and review; he is not day-to-day on the build. You will work directly with Claude on tasks that require infrastructure-application coordination, and you will engage with the R&amp;I analysts (Ganlin and Ella) during UAT phases. The CRO governs framework conformance and has approval authority over certain open items listed in the TRD — you will need to support those approvals with documented configurations where the CRO's sign-off is required.</w:t>
      </w:r>
    </w:p>
    <w:p>
      <w:pPr>
        <w:spacing w:after="0" w:before="80"/>
      </w:pPr>
      <w:r>
        <w:t xml:space="preserve"/>
      </w:r>
    </w:p>
    <w:p>
      <w:pPr>
        <w:pStyle w:val="Heading1"/>
        <w:spacing w:after="160" w:before="300"/>
      </w:pPr>
      <w:r>
        <w:rPr>
          <w:rFonts w:ascii="Arial" w:cs="Arial" w:eastAsia="Arial" w:hAnsi="Arial"/>
          <w:b/>
          <w:bCs/>
          <w:color w:val="1F3864"/>
          <w:sz w:val="26"/>
          <w:szCs w:val="26"/>
        </w:rPr>
        <w:t xml:space="preserve">4.  Build Phase: Your Work Packages</w:t>
      </w:r>
    </w:p>
    <w:p>
      <w:pPr>
        <w:spacing w:after="60" w:before="60"/>
      </w:pPr>
      <w:r>
        <w:rPr>
          <w:rFonts w:ascii="Arial" w:cs="Arial" w:eastAsia="Arial" w:hAnsi="Arial"/>
          <w:b w:val="false"/>
          <w:bCs w:val="false"/>
          <w:i w:val="false"/>
          <w:iCs w:val="false"/>
          <w:color w:val="000000"/>
          <w:sz w:val="20"/>
          <w:szCs w:val="20"/>
        </w:rPr>
        <w:t xml:space="preserve">The build is organized into 20 work packages across six implementation phases. The following table identifies every work package that carries significant SE involvement — either as primary owner or as required co-participant. The six phases are not strictly sequential; later phases may begin once their dependencies are stable.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700"/>
        <w:gridCol w:w="2560"/>
      </w:tblGrid>
      <w:tr>
        <w:trPr>
          <w:tblHeader/>
        </w:trPr>
        <w:tc>
          <w:tcPr>
            <w:tcW w:type="dxa" w:w="500"/>
            <w:tcBorders>
              <w:top w:val="single" w:color="1F3864" w:sz="4"/>
              <w:left w:val="single" w:color="AAAAAA" w:sz="1"/>
              <w:bottom w:val="single" w:color="1F3864" w:sz="4"/>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WP</w:t>
            </w:r>
          </w:p>
        </w:tc>
        <w:tc>
          <w:tcPr>
            <w:tcW w:type="dxa" w:w="2600"/>
            <w:tcBorders>
              <w:top w:val="single" w:color="1F3864" w:sz="4"/>
              <w:left w:val="single" w:color="AAAAAA" w:sz="1"/>
              <w:bottom w:val="single" w:color="1F3864" w:sz="4"/>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Work Package</w:t>
            </w:r>
          </w:p>
        </w:tc>
        <w:tc>
          <w:tcPr>
            <w:tcW w:type="dxa" w:w="3700"/>
            <w:tcBorders>
              <w:top w:val="single" w:color="1F3864" w:sz="4"/>
              <w:left w:val="single" w:color="AAAAAA" w:sz="1"/>
              <w:bottom w:val="single" w:color="1F3864" w:sz="4"/>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Your Primary Deliverable</w:t>
            </w:r>
          </w:p>
        </w:tc>
        <w:tc>
          <w:tcPr>
            <w:tcW w:type="dxa" w:w="2560"/>
            <w:tcBorders>
              <w:top w:val="single" w:color="1F3864" w:sz="4"/>
              <w:left w:val="single" w:color="AAAAAA" w:sz="1"/>
              <w:bottom w:val="single" w:color="1F3864" w:sz="4"/>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 Role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WP-1</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AWS Infrastructure Foundation</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VPC, subnets, IAM roles and least-privilege policies, KMS customer-managed keys, Secrets Manager with rotation configuration, S3 buckets (7 buckets per DBSPEC Section 10 with versioning, CRR on packs and audit-archive buckets, KMS encryption), Aurora PostgreSQL cluster (Multi-AZ, 1 writer + 2 readers, pgvector and PostGIS extensions, 35-day PITR), ECS Fargate cluster, Application Load Balancer with TLS termination, CloudWatch baseline, GuardDuty and Security Hub enabled.</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Primary owner. No application code yet — this is pure infrastructure. Target: completed in Weeks 1–2 concurrent with Claude's architecture review sessions.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WP-2</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Database Schema and Migrations</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All 11 schema groups provisioned per TCA-DBSPEC-2026-REFENG-001. All enum types created. pgvector IVFFlat index on chunk_embeddings (lists=100 starting value). PostGIS GiST index on spatial_geometry. Alembic migration framework configured. Seed data for embedding model versions and retention policies. Append-only enforcement on audit tables.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Primary owner. You execute and validate the DDL from the DBSPEC. Claude generates the Alembic migration scripts; you apply and verify against the live cluster.</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WP-3</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Source Inventory and Credential Registry</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source schema populated with Build Source Inventory Model v2 (Texas + Kentucky E&amp;P MVP sources). Credential registry entries connected to Secrets Manager ARNs. Source access grant model active. Automated credential rotation where supported.</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Primary owner. You provision Secrets Manager entries for each source credential and link them to the credential_registry table. Claude generates the seed data scripts.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WP-4</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Source Ingestion — Tier 1 MVP</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Ingestion runners operational for Texas RRC, Kentucky EEC, Kentucky Geological Survey. ingestion_run, source_record, ingestion_exception tables populated from first live runs.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Co-owner with Claude. Claude writes the ingestion service code; you configure the Lambda scheduled invocations, environment variables, and IAM execution roles. You validate the first ingestion runs against the live database.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WP-5</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Canonical Entity Layer</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Entity normalization operational. Canonical entities for operators, assets, wells, leases, blocks across Texas and Kentucky.</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Support role. Claude writes the normalization logic; you ensure the entity schema is correct and PostGIS geometry types are functioning for spatial entities.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WP-6</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 Processing Pipeline</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svc:extractor, svc:chunker, svc:embedder deployed as Lambda functions. OpenAI API key provisioned in Secrets Manager. Document processing pipeline ingests PDFs and produces chunk_embeddings records.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Co-owner. You deploy the Lambda functions Claude writes, configure the OpenAI API key in Secrets Manager, set concurrency limits, and configure the chunk-created triggers. You validate embedding throughput against NFR-106 (1,000 chunks/minute sustained).</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WP-7</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Retrieval Pipeline</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svc:retriever deployed to ECS Fargate with Reader 1 as its Aurora endpoint. Six-step hybrid retrieval pipeline operational. Cohere Rerank API key provisioned.</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Support / deployment role. Claude writes the retrieval service; you deploy to Fargate, configure the Cohere API key in Secrets Manager, and run latency validation against NFR-001 (p95 &lt; 5 seconds).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WP-13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Event Publisher and Webhook Infrastructure</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svc:event-publisher deployed. HMAC-SHA256 signing keys provisioned in Secrets Manager with quarterly rotation schedule. Idempotency enforcement active. Dead-letter handling and replay support operational.</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Primary owner on the infrastructure side. You provision webhook signing keys and configure rotation schedules. Claude writes the event publisher service; you deploy it and validate end-to-end delivery of a test event.</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WP-14</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Audit and Retention Infrastructure</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svc:audit-writer deployed. Hash-chained audit event writing operational. Cross-region replication on audit-archive S3 bucket active. Retention metadata populated.</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Primary owner on deployment and replication configuration. Claude writes the audit writer service; you configure the S3 CRR and validate hash chain integrity with a test sequence.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WP-15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Access Control and Onboarding Integration</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user_account_shadow mirror consuming user_access_grant events. Controlled-access document token model operational. access.revoked handling tested.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Co-owner. You configure the Google Workspace SAML/OIDC federation, provision the identity provider integration, and validate role-binding creation from inbound events.</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WP-16</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Risk Engine Integration</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Outbound feature.published, reference_pack.approved, evidence.created events deliverable to Risk Engine webhook endpoint. Inbound methodology change request handling tested.</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Support / deployment role. Claude writes the integration services; you validate the event delivery and confirm HMAC signature verification is functioning.</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WP-17</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Monitoring, Alerting, Runbooks</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CloudWatch dashboards and alarms for all SLA metrics. Custom metrics for retrieval latency p95/p99, ingestion throughput, embedding throughput, audit chain integrity, Aurora replica lag. On-call rotation configured. All eight runbooks documented.</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Primary owner. This is entirely your deliverable. Eight runbooks are specified in TCA-TRD Section 14.4; you write them from operational experience during the build.</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WP-18</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Testing and Contract Validation</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Unit test coverage passing at 80% of non-trivial logic. Integration tests for every inbound and outbound event type. Load test validating retrieval latency at 20 concurrent projects. Security review completed.</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Co-owner with Claude. Claude generates unit and integration test code; you execute load testing and security review, and sign off on DR test results.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WP-19</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MVP End-to-End Validation</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Two complete end-to-end runs executed: one Texas E&amp;P project, one Kentucky E&amp;P project. Both produce a complete Reference Pack with cited evidence and published features.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Active participant. You support the live infrastructure during the validation runs, monitor CloudWatch metrics, and document any anomalies.</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WP-20</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Operational Readiness and Production Cutover</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Backup/restore procedure tested. DR drill executed with documented RPO/RTO results. Release process documented. Production cutover executed with audit attribution. GoDaddy VPS formally excluded from all production traffic.</w:t>
            </w:r>
          </w:p>
        </w:tc>
        <w:tc>
          <w:tcPr>
            <w:tcW w:type="dxa" w:w="2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Primary owner. Production cutover is your operation. You own the cutover runbook, execute the backup/restore test, run the DR drill, and document the results for MRB sign-off.</w:t>
            </w:r>
          </w:p>
        </w:tc>
      </w:tr>
    </w:tbl>
    <w:p>
      <w:pPr>
        <w:spacing w:after="0" w:before="80"/>
      </w:pPr>
      <w:r>
        <w:t xml:space="preserve"/>
      </w:r>
    </w:p>
    <w:p>
      <w:pPr>
        <w:pStyle w:val="Heading1"/>
        <w:spacing w:after="160" w:before="300"/>
      </w:pPr>
      <w:r>
        <w:rPr>
          <w:rFonts w:ascii="Arial" w:cs="Arial" w:eastAsia="Arial" w:hAnsi="Arial"/>
          <w:b/>
          <w:bCs/>
          <w:color w:val="1F3864"/>
          <w:sz w:val="26"/>
          <w:szCs w:val="26"/>
        </w:rPr>
        <w:t xml:space="preserve">5.  Open Items Assigned to the SE</w:t>
      </w:r>
    </w:p>
    <w:p>
      <w:pPr>
        <w:spacing w:after="60" w:before="60"/>
      </w:pPr>
      <w:r>
        <w:rPr>
          <w:rFonts w:ascii="Arial" w:cs="Arial" w:eastAsia="Arial" w:hAnsi="Arial"/>
          <w:b w:val="false"/>
          <w:bCs w:val="false"/>
          <w:i w:val="false"/>
          <w:iCs w:val="false"/>
          <w:color w:val="000000"/>
          <w:sz w:val="20"/>
          <w:szCs w:val="20"/>
        </w:rPr>
        <w:t xml:space="preserve">The TRD Final v1.0 and DBSPEC v1.0 carry a number of open items that are explicitly assigned to the SE for resolution during detailed design or operational readiness phases. None of these block the start of build, but you will own their resolution: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1F3864" w:sz="4"/>
              <w:left w:val="single" w:color="AAAAAA" w:sz="1"/>
              <w:bottom w:val="single" w:color="1F3864" w:sz="4"/>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Open Item</w:t>
            </w:r>
          </w:p>
        </w:tc>
        <w:tc>
          <w:tcPr>
            <w:tcW w:type="dxa" w:w="3800"/>
            <w:tcBorders>
              <w:top w:val="single" w:color="1F3864" w:sz="4"/>
              <w:left w:val="single" w:color="AAAAAA" w:sz="1"/>
              <w:bottom w:val="single" w:color="1F3864" w:sz="4"/>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Your Action</w:t>
            </w:r>
          </w:p>
        </w:tc>
        <w:tc>
          <w:tcPr>
            <w:tcW w:type="dxa" w:w="2760"/>
            <w:tcBorders>
              <w:top w:val="single" w:color="1F3864" w:sz="4"/>
              <w:left w:val="single" w:color="AAAAAA" w:sz="1"/>
              <w:bottom w:val="single" w:color="1F3864" w:sz="4"/>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Resolution Trigger</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pgvector IVFFlat index tuning</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Tune lists and probes parameters against measured MVP corpus size and query patterns. Document the final values and the methodology used. Update the chunk_embeddings index DDL via a migration script.</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30 days post-MVP go-live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External vector DB migration threshold</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Define and document the corpus size, query latency, and concurrency thresholds that would trigger migration from pgvector to an external vector store (Pinecone, Weaviate, Qdrant, or OpenSearch). The abstraction layer in the application code makes this migration straightforward — your job is to define when to pull the trigger.</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Operational readiness review</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Embedding cost model detail</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Produce a detailed cost projection for OpenAI text-embedding-3-large under MVP corpus size and post-MVP multi-vertical corpus. This feeds the financial model update.</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Operational readiness phase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Bedrock embedding fallback</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Design and document the concrete fallback configuration to AWS Bedrock (Cohere Embed or Amazon Titan Embed) at the abstraction layer, such that a CRO-approved switch can be made without application code changes.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Detailed design phase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Audit store schema convergence</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Finalize the convergence schema between the local audit mirror (audit.audit_event_local) and the cross-engine shared append-only audit store. Coordinate with MRB and CRO on the shared store design.</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Detailed design phase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Retrieval partition management automation</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Configure a scheduled Lambda or ECS task to create the next month's retrieval_queries partition on the 25th of each preceding month. Document this as a runbook item.</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WP-17</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PII redaction posture</w:t>
            </w:r>
          </w:p>
        </w:tc>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 coordination with CRO and Counsel, determine whether any document classes require pre-embedding redaction or anonymization before text is sent to the OpenAI embedding API. Document the decision and any resulting pipeline modifications.</w:t>
            </w:r>
          </w:p>
        </w:tc>
        <w:tc>
          <w:tcPr>
            <w:tcW w:type="dxa" w:w="2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Detailed design phase</w:t>
            </w:r>
          </w:p>
        </w:tc>
      </w:tr>
    </w:tbl>
    <w:p>
      <w:pPr>
        <w:spacing w:after="0" w:before="80"/>
      </w:pPr>
      <w:r>
        <w:t xml:space="preserve"/>
      </w:r>
    </w:p>
    <w:p>
      <w:pPr>
        <w:pStyle w:val="Heading1"/>
        <w:spacing w:after="160" w:before="300"/>
      </w:pPr>
      <w:r>
        <w:rPr>
          <w:rFonts w:ascii="Arial" w:cs="Arial" w:eastAsia="Arial" w:hAnsi="Arial"/>
          <w:b/>
          <w:bCs/>
          <w:color w:val="1F3864"/>
          <w:sz w:val="26"/>
          <w:szCs w:val="26"/>
        </w:rPr>
        <w:t xml:space="preserve">6.  Ongoing Responsibilities Post-Production</w:t>
      </w:r>
    </w:p>
    <w:p>
      <w:pPr>
        <w:spacing w:after="60" w:before="60"/>
      </w:pPr>
      <w:r>
        <w:rPr>
          <w:rFonts w:ascii="Arial" w:cs="Arial" w:eastAsia="Arial" w:hAnsi="Arial"/>
          <w:b w:val="false"/>
          <w:bCs w:val="false"/>
          <w:i w:val="false"/>
          <w:iCs w:val="false"/>
          <w:color w:val="000000"/>
          <w:sz w:val="20"/>
          <w:szCs w:val="20"/>
        </w:rPr>
        <w:t xml:space="preserve">The build is 20 weeks. The engagement does not end at go-live. The following ongoing responsibilities are part-time and recurring, consistent with the retainer model described in the financial plan (approximately 8 hours per month base, scaling with activity).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100"/>
              <w:left w:type="dxa" w:w="200"/>
              <w:bottom w:type="dxa" w:w="100"/>
              <w:right w:type="dxa" w:w="200"/>
            </w:tcMar>
          </w:tcPr>
          <w:p>
            <w:r>
              <w:rPr>
                <w:rFonts w:ascii="Arial" w:cs="Arial" w:eastAsia="Arial" w:hAnsi="Arial"/>
                <w:b/>
                <w:bCs/>
                <w:color w:val="FFFFFF"/>
                <w:sz w:val="20"/>
                <w:szCs w:val="20"/>
              </w:rPr>
              <w:t xml:space="preserve">6.1  Weekly Operations</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Review query latency p95 and p99 metrics from CloudWatch. Flag any sustained degradation against the NFR-001 target (p95 &lt; 5 seconds).</w:t>
      </w:r>
    </w:p>
    <w:p>
      <w:pPr>
        <w:pStyle w:val="ListParagraph"/>
        <w:numPr>
          <w:ilvl w:val="0"/>
          <w:numId w:val="2"/>
        </w:numPr>
        <w:spacing w:after="40" w:before="40"/>
      </w:pPr>
      <w:r>
        <w:rPr>
          <w:rFonts w:ascii="Arial" w:cs="Arial" w:eastAsia="Arial" w:hAnsi="Arial"/>
          <w:b w:val="false"/>
          <w:bCs w:val="false"/>
          <w:color w:val="000000"/>
          <w:sz w:val="20"/>
          <w:szCs w:val="20"/>
        </w:rPr>
        <w:t xml:space="preserve">Review API error rates for svc:reference-api, svc:retriever, and svc:embedder.</w:t>
      </w:r>
    </w:p>
    <w:p>
      <w:pPr>
        <w:pStyle w:val="ListParagraph"/>
        <w:numPr>
          <w:ilvl w:val="0"/>
          <w:numId w:val="2"/>
        </w:numPr>
        <w:spacing w:after="40" w:before="40"/>
      </w:pPr>
      <w:r>
        <w:rPr>
          <w:rFonts w:ascii="Arial" w:cs="Arial" w:eastAsia="Arial" w:hAnsi="Arial"/>
          <w:b w:val="false"/>
          <w:bCs w:val="false"/>
          <w:color w:val="000000"/>
          <w:sz w:val="20"/>
          <w:szCs w:val="20"/>
        </w:rPr>
        <w:t xml:space="preserve">Review webhook delivery failure rates. Investigate any dead-lettered events.</w:t>
      </w:r>
    </w:p>
    <w:p>
      <w:pPr>
        <w:pStyle w:val="ListParagraph"/>
        <w:numPr>
          <w:ilvl w:val="0"/>
          <w:numId w:val="2"/>
        </w:numPr>
        <w:spacing w:after="40" w:before="40"/>
      </w:pPr>
      <w:r>
        <w:rPr>
          <w:rFonts w:ascii="Arial" w:cs="Arial" w:eastAsia="Arial" w:hAnsi="Arial"/>
          <w:b w:val="false"/>
          <w:bCs w:val="false"/>
          <w:color w:val="000000"/>
          <w:sz w:val="20"/>
          <w:szCs w:val="20"/>
        </w:rPr>
        <w:t xml:space="preserve">Review Aurora replica lag. Alert if Reader 1 (retrieval workload) replica lag exceeds the monitoring threshold.</w:t>
      </w:r>
    </w:p>
    <w:p>
      <w:pPr>
        <w:pStyle w:val="ListParagraph"/>
        <w:numPr>
          <w:ilvl w:val="0"/>
          <w:numId w:val="2"/>
        </w:numPr>
        <w:spacing w:after="40" w:before="40"/>
      </w:pPr>
      <w:r>
        <w:rPr>
          <w:rFonts w:ascii="Arial" w:cs="Arial" w:eastAsia="Arial" w:hAnsi="Arial"/>
          <w:b w:val="false"/>
          <w:bCs w:val="false"/>
          <w:color w:val="000000"/>
          <w:sz w:val="20"/>
          <w:szCs w:val="20"/>
        </w:rPr>
        <w:t xml:space="preserve">Produce and deliver the weekly ops report to MRB and Stan Hua.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100"/>
              <w:left w:type="dxa" w:w="200"/>
              <w:bottom w:type="dxa" w:w="100"/>
              <w:right w:type="dxa" w:w="200"/>
            </w:tcMar>
          </w:tcPr>
          <w:p>
            <w:r>
              <w:rPr>
                <w:rFonts w:ascii="Arial" w:cs="Arial" w:eastAsia="Arial" w:hAnsi="Arial"/>
                <w:b/>
                <w:bCs/>
                <w:color w:val="FFFFFF"/>
                <w:sz w:val="20"/>
                <w:szCs w:val="20"/>
              </w:rPr>
              <w:t xml:space="preserve">6.2  Monthly Operations</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Support the monthly corpus source review led by Ganlin and the SE. Your role is to execute any infrastructure actions resulting from source review decisions — credential updates, access grant modifications, source retirement events.</w:t>
      </w:r>
    </w:p>
    <w:p>
      <w:pPr>
        <w:pStyle w:val="ListParagraph"/>
        <w:numPr>
          <w:ilvl w:val="0"/>
          <w:numId w:val="2"/>
        </w:numPr>
        <w:spacing w:after="40" w:before="40"/>
      </w:pPr>
      <w:r>
        <w:rPr>
          <w:rFonts w:ascii="Arial" w:cs="Arial" w:eastAsia="Arial" w:hAnsi="Arial"/>
          <w:b w:val="false"/>
          <w:bCs w:val="false"/>
          <w:color w:val="000000"/>
          <w:sz w:val="20"/>
          <w:szCs w:val="20"/>
        </w:rPr>
        <w:t xml:space="preserve">Review infrastructure cost against the financial model. Flag any significant variances.</w:t>
      </w:r>
    </w:p>
    <w:p>
      <w:pPr>
        <w:pStyle w:val="ListParagraph"/>
        <w:numPr>
          <w:ilvl w:val="0"/>
          <w:numId w:val="2"/>
        </w:numPr>
        <w:spacing w:after="40" w:before="40"/>
      </w:pPr>
      <w:r>
        <w:rPr>
          <w:rFonts w:ascii="Arial" w:cs="Arial" w:eastAsia="Arial" w:hAnsi="Arial"/>
          <w:b w:val="false"/>
          <w:bCs w:val="false"/>
          <w:color w:val="000000"/>
          <w:sz w:val="20"/>
          <w:szCs w:val="20"/>
        </w:rPr>
        <w:t xml:space="preserve">Apply security patches to Python, Node.js, and other dependencies where critical vulnerabilities are identified. Target: within 72 hours for critical patches.</w:t>
      </w:r>
    </w:p>
    <w:p>
      <w:pPr>
        <w:pStyle w:val="ListParagraph"/>
        <w:numPr>
          <w:ilvl w:val="0"/>
          <w:numId w:val="2"/>
        </w:numPr>
        <w:spacing w:after="40" w:before="40"/>
      </w:pPr>
      <w:r>
        <w:rPr>
          <w:rFonts w:ascii="Arial" w:cs="Arial" w:eastAsia="Arial" w:hAnsi="Arial"/>
          <w:b w:val="false"/>
          <w:bCs w:val="false"/>
          <w:color w:val="000000"/>
          <w:sz w:val="20"/>
          <w:szCs w:val="20"/>
        </w:rPr>
        <w:t xml:space="preserve">Validate KMS key rotation status. Confirm Secrets Manager automated rotations executed successfully for all credentials configured for rotation.</w:t>
      </w:r>
    </w:p>
    <w:p>
      <w:pPr>
        <w:pStyle w:val="ListParagraph"/>
        <w:numPr>
          <w:ilvl w:val="0"/>
          <w:numId w:val="2"/>
        </w:numPr>
        <w:spacing w:after="40" w:before="40"/>
      </w:pPr>
      <w:r>
        <w:rPr>
          <w:rFonts w:ascii="Arial" w:cs="Arial" w:eastAsia="Arial" w:hAnsi="Arial"/>
          <w:b w:val="false"/>
          <w:bCs w:val="false"/>
          <w:color w:val="000000"/>
          <w:sz w:val="20"/>
          <w:szCs w:val="20"/>
        </w:rPr>
        <w:t xml:space="preserve">Produce the monthly corpus health report infrastructure section.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100"/>
              <w:left w:type="dxa" w:w="200"/>
              <w:bottom w:type="dxa" w:w="100"/>
              <w:right w:type="dxa" w:w="200"/>
            </w:tcMar>
          </w:tcPr>
          <w:p>
            <w:r>
              <w:rPr>
                <w:rFonts w:ascii="Arial" w:cs="Arial" w:eastAsia="Arial" w:hAnsi="Arial"/>
                <w:b/>
                <w:bCs/>
                <w:color w:val="FFFFFF"/>
                <w:sz w:val="20"/>
                <w:szCs w:val="20"/>
              </w:rPr>
              <w:t xml:space="preserve">6.3  Quarterly Operations</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Conduct the quarterly technical review with Stan Hua. Review architecture decisions for any scaling adjustments, evaluate embedding model performance against the held-out query set, and assess whether any post-MVP vector store migration trigger conditions have been approached.</w:t>
      </w:r>
    </w:p>
    <w:p>
      <w:pPr>
        <w:pStyle w:val="ListParagraph"/>
        <w:numPr>
          <w:ilvl w:val="0"/>
          <w:numId w:val="2"/>
        </w:numPr>
        <w:spacing w:after="40" w:before="40"/>
      </w:pPr>
      <w:r>
        <w:rPr>
          <w:rFonts w:ascii="Arial" w:cs="Arial" w:eastAsia="Arial" w:hAnsi="Arial"/>
          <w:b w:val="false"/>
          <w:bCs w:val="false"/>
          <w:color w:val="000000"/>
          <w:sz w:val="20"/>
          <w:szCs w:val="20"/>
        </w:rPr>
        <w:t xml:space="preserve">Execute a backup/restore test. Document RPO and RTO results against the targets (RPO: 15 minutes; RTO: 4 hours).</w:t>
      </w:r>
    </w:p>
    <w:p>
      <w:pPr>
        <w:pStyle w:val="ListParagraph"/>
        <w:numPr>
          <w:ilvl w:val="0"/>
          <w:numId w:val="2"/>
        </w:numPr>
        <w:spacing w:after="40" w:before="40"/>
      </w:pPr>
      <w:r>
        <w:rPr>
          <w:rFonts w:ascii="Arial" w:cs="Arial" w:eastAsia="Arial" w:hAnsi="Arial"/>
          <w:b w:val="false"/>
          <w:bCs w:val="false"/>
          <w:color w:val="000000"/>
          <w:sz w:val="20"/>
          <w:szCs w:val="20"/>
        </w:rPr>
        <w:t xml:space="preserve">Rotate HMAC-SHA256 webhook signing keys with overlap window per the key rotation procedure documented in WP-17.</w:t>
      </w:r>
    </w:p>
    <w:p>
      <w:pPr>
        <w:pStyle w:val="ListParagraph"/>
        <w:numPr>
          <w:ilvl w:val="0"/>
          <w:numId w:val="2"/>
        </w:numPr>
        <w:spacing w:after="40" w:before="40"/>
      </w:pPr>
      <w:r>
        <w:rPr>
          <w:rFonts w:ascii="Arial" w:cs="Arial" w:eastAsia="Arial" w:hAnsi="Arial"/>
          <w:b w:val="false"/>
          <w:bCs w:val="false"/>
          <w:color w:val="000000"/>
          <w:sz w:val="20"/>
          <w:szCs w:val="20"/>
        </w:rPr>
        <w:t xml:space="preserve">Run the DR drill. Document results. Report to MRB.</w:t>
      </w:r>
    </w:p>
    <w:p>
      <w:pPr>
        <w:pStyle w:val="ListParagraph"/>
        <w:numPr>
          <w:ilvl w:val="0"/>
          <w:numId w:val="2"/>
        </w:numPr>
        <w:spacing w:after="40" w:before="40"/>
      </w:pPr>
      <w:r>
        <w:rPr>
          <w:rFonts w:ascii="Arial" w:cs="Arial" w:eastAsia="Arial" w:hAnsi="Arial"/>
          <w:b w:val="false"/>
          <w:bCs w:val="false"/>
          <w:color w:val="000000"/>
          <w:sz w:val="20"/>
          <w:szCs w:val="20"/>
        </w:rPr>
        <w:t xml:space="preserve">Apply Aurora minor version updates in staging; promote to production after validation.</w:t>
      </w:r>
    </w:p>
    <w:p>
      <w:pPr>
        <w:pStyle w:val="ListParagraph"/>
        <w:numPr>
          <w:ilvl w:val="0"/>
          <w:numId w:val="2"/>
        </w:numPr>
        <w:spacing w:after="40" w:before="40"/>
      </w:pPr>
      <w:r>
        <w:rPr>
          <w:rFonts w:ascii="Arial" w:cs="Arial" w:eastAsia="Arial" w:hAnsi="Arial"/>
          <w:b w:val="false"/>
          <w:bCs w:val="false"/>
          <w:color w:val="000000"/>
          <w:sz w:val="20"/>
          <w:szCs w:val="20"/>
        </w:rPr>
        <w:t xml:space="preserve">Review and renew expiring source credentials in the credential registry. Update Secrets Manager entries.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100"/>
              <w:left w:type="dxa" w:w="200"/>
              <w:bottom w:type="dxa" w:w="100"/>
              <w:right w:type="dxa" w:w="200"/>
            </w:tcMar>
          </w:tcPr>
          <w:p>
            <w:r>
              <w:rPr>
                <w:rFonts w:ascii="Arial" w:cs="Arial" w:eastAsia="Arial" w:hAnsi="Arial"/>
                <w:b/>
                <w:bCs/>
                <w:color w:val="FFFFFF"/>
                <w:sz w:val="20"/>
                <w:szCs w:val="20"/>
              </w:rPr>
              <w:t xml:space="preserve">6.4  Annual Operations</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Support the annual full corpus audit (led by MRB and Stan). Your role is to provide infrastructure metrics, storage statistics, and corpus size data to support the audit.</w:t>
      </w:r>
    </w:p>
    <w:p>
      <w:pPr>
        <w:pStyle w:val="ListParagraph"/>
        <w:numPr>
          <w:ilvl w:val="0"/>
          <w:numId w:val="2"/>
        </w:numPr>
        <w:spacing w:after="40" w:before="40"/>
      </w:pPr>
      <w:r>
        <w:rPr>
          <w:rFonts w:ascii="Arial" w:cs="Arial" w:eastAsia="Arial" w:hAnsi="Arial"/>
          <w:b w:val="false"/>
          <w:bCs w:val="false"/>
          <w:color w:val="000000"/>
          <w:sz w:val="20"/>
          <w:szCs w:val="20"/>
        </w:rPr>
        <w:t xml:space="preserve">Conduct the annual architecture review (ADR review). Present any architecture decisions requiring revisitation to MRB and Stan Hua.</w:t>
      </w:r>
    </w:p>
    <w:p>
      <w:pPr>
        <w:pStyle w:val="ListParagraph"/>
        <w:numPr>
          <w:ilvl w:val="0"/>
          <w:numId w:val="2"/>
        </w:numPr>
        <w:spacing w:after="40" w:before="40"/>
      </w:pPr>
      <w:r>
        <w:rPr>
          <w:rFonts w:ascii="Arial" w:cs="Arial" w:eastAsia="Arial" w:hAnsi="Arial"/>
          <w:b w:val="false"/>
          <w:bCs w:val="false"/>
          <w:color w:val="000000"/>
          <w:sz w:val="20"/>
          <w:szCs w:val="20"/>
        </w:rPr>
        <w:t xml:space="preserve">Review the retention policy implementation. Confirm lifecycle policies on S3 buckets are aligned to the retention schedule in DBSPEC Section 11. Confirm Aurora long-term snapshot retention is executing correctly.</w:t>
      </w:r>
    </w:p>
    <w:p>
      <w:pPr>
        <w:pStyle w:val="ListParagraph"/>
        <w:numPr>
          <w:ilvl w:val="0"/>
          <w:numId w:val="2"/>
        </w:numPr>
        <w:spacing w:after="40" w:before="40"/>
      </w:pPr>
      <w:r>
        <w:rPr>
          <w:rFonts w:ascii="Arial" w:cs="Arial" w:eastAsia="Arial" w:hAnsi="Arial"/>
          <w:b w:val="false"/>
          <w:bCs w:val="false"/>
          <w:color w:val="000000"/>
          <w:sz w:val="20"/>
          <w:szCs w:val="20"/>
        </w:rPr>
        <w:t xml:space="preserve">Review KMS key rotation history. Confirm annual rotation has executed.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100"/>
              <w:left w:type="dxa" w:w="200"/>
              <w:bottom w:type="dxa" w:w="100"/>
              <w:right w:type="dxa" w:w="200"/>
            </w:tcMar>
          </w:tcPr>
          <w:p>
            <w:r>
              <w:rPr>
                <w:rFonts w:ascii="Arial" w:cs="Arial" w:eastAsia="Arial" w:hAnsi="Arial"/>
                <w:b/>
                <w:bCs/>
                <w:color w:val="FFFFFF"/>
                <w:sz w:val="20"/>
                <w:szCs w:val="20"/>
              </w:rPr>
              <w:t xml:space="preserve">6.5  Event-Driven Responsibilities</w:t>
            </w:r>
          </w:p>
        </w:tc>
      </w:tr>
    </w:tbl>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Embedding model upgrade: execute the full re-indexing cycle. This involves running svc:embedder against the entire corpus with the new model version, marking old embeddings as DEPRECATED (not deleting them), updating the embedding_model_versions table, and validating retrieval quality against the held-out query set before cutting over.</w:t>
      </w:r>
    </w:p>
    <w:p>
      <w:pPr>
        <w:pStyle w:val="ListParagraph"/>
        <w:numPr>
          <w:ilvl w:val="0"/>
          <w:numId w:val="2"/>
        </w:numPr>
        <w:spacing w:after="40" w:before="40"/>
      </w:pPr>
      <w:r>
        <w:rPr>
          <w:rFonts w:ascii="Arial" w:cs="Arial" w:eastAsia="Arial" w:hAnsi="Arial"/>
          <w:b w:val="false"/>
          <w:bCs w:val="false"/>
          <w:color w:val="000000"/>
          <w:sz w:val="20"/>
          <w:szCs w:val="20"/>
        </w:rPr>
        <w:t xml:space="preserve">Security vulnerability: apply critical patches within 72 hours. Document the patch event in the audit store.</w:t>
      </w:r>
    </w:p>
    <w:p>
      <w:pPr>
        <w:pStyle w:val="ListParagraph"/>
        <w:numPr>
          <w:ilvl w:val="0"/>
          <w:numId w:val="2"/>
        </w:numPr>
        <w:spacing w:after="40" w:before="40"/>
      </w:pPr>
      <w:r>
        <w:rPr>
          <w:rFonts w:ascii="Arial" w:cs="Arial" w:eastAsia="Arial" w:hAnsi="Arial"/>
          <w:b w:val="false"/>
          <w:bCs w:val="false"/>
          <w:color w:val="000000"/>
          <w:sz w:val="20"/>
          <w:szCs w:val="20"/>
        </w:rPr>
        <w:t xml:space="preserve">Corpus integrity incident: execute the emergency action protocol. Retire the affected document, notify MRB within 4 hours, flag affected interactions.</w:t>
      </w:r>
    </w:p>
    <w:p>
      <w:pPr>
        <w:pStyle w:val="ListParagraph"/>
        <w:numPr>
          <w:ilvl w:val="0"/>
          <w:numId w:val="2"/>
        </w:numPr>
        <w:spacing w:after="40" w:before="40"/>
      </w:pPr>
      <w:r>
        <w:rPr>
          <w:rFonts w:ascii="Arial" w:cs="Arial" w:eastAsia="Arial" w:hAnsi="Arial"/>
          <w:b w:val="false"/>
          <w:bCs w:val="false"/>
          <w:color w:val="000000"/>
          <w:sz w:val="20"/>
          <w:szCs w:val="20"/>
        </w:rPr>
        <w:t xml:space="preserve">Source authentication failure: execute the source authentication failure runbook. This is one of the eight runbooks you will write during WP-17.</w:t>
      </w:r>
    </w:p>
    <w:p>
      <w:pPr>
        <w:pStyle w:val="ListParagraph"/>
        <w:numPr>
          <w:ilvl w:val="0"/>
          <w:numId w:val="2"/>
        </w:numPr>
        <w:spacing w:after="40" w:before="40"/>
      </w:pPr>
      <w:r>
        <w:rPr>
          <w:rFonts w:ascii="Arial" w:cs="Arial" w:eastAsia="Arial" w:hAnsi="Arial"/>
          <w:b w:val="false"/>
          <w:bCs w:val="false"/>
          <w:color w:val="000000"/>
          <w:sz w:val="20"/>
          <w:szCs w:val="20"/>
        </w:rPr>
        <w:t xml:space="preserve">Audit chain hash mismatch: this is a P1-equivalent event. Execute the audit chain integrity violation runbook immediately. Notify MRB and Stan Hua.</w:t>
      </w:r>
    </w:p>
    <w:p>
      <w:pPr>
        <w:pStyle w:val="ListParagraph"/>
        <w:numPr>
          <w:ilvl w:val="0"/>
          <w:numId w:val="2"/>
        </w:numPr>
        <w:spacing w:after="40" w:before="40"/>
      </w:pPr>
      <w:r>
        <w:rPr>
          <w:rFonts w:ascii="Arial" w:cs="Arial" w:eastAsia="Arial" w:hAnsi="Arial"/>
          <w:b w:val="false"/>
          <w:bCs w:val="false"/>
          <w:color w:val="000000"/>
          <w:sz w:val="20"/>
          <w:szCs w:val="20"/>
        </w:rPr>
        <w:t xml:space="preserve">On receipt of an access.revoked event from the Onboarding Engine: execute the access revocation runbook — halt pending operations under the revoked grant, prevent future retrievals, and preserve historical audit records.</w:t>
      </w:r>
    </w:p>
    <w:p>
      <w:pPr>
        <w:spacing w:after="0" w:before="80"/>
      </w:pPr>
      <w:r>
        <w:t xml:space="preserve"/>
      </w:r>
    </w:p>
    <w:p>
      <w:pPr>
        <w:pStyle w:val="Heading1"/>
        <w:spacing w:after="160" w:before="300"/>
      </w:pPr>
      <w:r>
        <w:rPr>
          <w:rFonts w:ascii="Arial" w:cs="Arial" w:eastAsia="Arial" w:hAnsi="Arial"/>
          <w:b/>
          <w:bCs/>
          <w:color w:val="1F3864"/>
          <w:sz w:val="26"/>
          <w:szCs w:val="26"/>
        </w:rPr>
        <w:t xml:space="preserve">7.  Technical Prerequisites</w:t>
      </w:r>
    </w:p>
    <w:p>
      <w:pPr>
        <w:spacing w:after="60" w:before="60"/>
      </w:pPr>
      <w:r>
        <w:rPr>
          <w:rFonts w:ascii="Arial" w:cs="Arial" w:eastAsia="Arial" w:hAnsi="Arial"/>
          <w:b w:val="false"/>
          <w:bCs w:val="false"/>
          <w:i w:val="false"/>
          <w:iCs w:val="false"/>
          <w:color w:val="000000"/>
          <w:sz w:val="20"/>
          <w:szCs w:val="20"/>
        </w:rPr>
        <w:t xml:space="preserve">The following skills and experience are required. This is not a learning opportunity list — these are functional requirements for the role from day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4"/>
              <w:left w:val="single" w:color="AAAAAA" w:sz="1"/>
              <w:bottom w:val="single" w:color="1F3864" w:sz="4"/>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6960"/>
            <w:tcBorders>
              <w:top w:val="single" w:color="1F3864" w:sz="4"/>
              <w:left w:val="single" w:color="AAAAAA" w:sz="1"/>
              <w:bottom w:val="single" w:color="1F3864" w:sz="4"/>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Required Capability</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AWS (mandatory)</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Hands-on production experience with Aurora PostgreSQL, ECS Fargate, Lambda, S3, KMS, Secrets Manager, CloudWatch, GuardDuty, IAM, VPC, and Application Load Balancer. Infrastructure-as-code with AWS CDK or Terraform. CI/CD via GitHub Actions or AWS CodePipeline.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PostgreSQL</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Aurora PostgreSQL administration: schema migrations with Alembic, index management, query performance analysis, read replica configuration, point-in-time recovery, extension management (pgvector, PostGIS). You should be comfortable reading EXPLAIN ANALYZE output and diagnosing slow queries.</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pgvector</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Working knowledge of pgvector extension: IVFFlat index construction and tuning, cosine similarity queries, understanding the relationship between lists parameter and query performance. Experience with embedding-at-scale workloads is a significant advantage.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Security</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IAM least-privilege policy design, secrets rotation, HMAC-SHA256 webhook signature implementation, TLS configuration, VPC security groups, KMS key management, CloudTrail configuration. Experience with GuardDuty and Security Hub is required.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Containers and serverless</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ECS Fargate task definition configuration, Lambda function deployment and trigger configuration, Docker image management in ECR, health check endpoints, scaling configuration.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Working with AI-generated code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You will receive Python and JavaScript/TypeScript application code written by Claude. You need to be able to review it for infrastructure correctness, deploy it confidently, and identify integration issues. You do not need to rewrite it.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Documentation</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You will produce eight runbooks, a weekly ops report, a monthly corpus health report infrastructure section, and quarterly technical review memos. Clear, precise written communication is a functional requirement.</w:t>
            </w:r>
          </w:p>
        </w:tc>
      </w:tr>
    </w:tbl>
    <w:p>
      <w:pPr>
        <w:spacing w:after="0" w:before="80"/>
      </w:pPr>
      <w:r>
        <w:t xml:space="preserve"/>
      </w:r>
    </w:p>
    <w:p>
      <w:pPr>
        <w:pStyle w:val="Heading1"/>
        <w:spacing w:after="160" w:before="300"/>
      </w:pPr>
      <w:r>
        <w:rPr>
          <w:rFonts w:ascii="Arial" w:cs="Arial" w:eastAsia="Arial" w:hAnsi="Arial"/>
          <w:b/>
          <w:bCs/>
          <w:color w:val="1F3864"/>
          <w:sz w:val="26"/>
          <w:szCs w:val="26"/>
        </w:rPr>
        <w:t xml:space="preserve">8.  Engagement Structure</w:t>
      </w:r>
    </w:p>
    <w:p>
      <w:pPr>
        <w:spacing w:after="60" w:before="60"/>
      </w:pPr>
      <w:r>
        <w:rPr>
          <w:rFonts w:ascii="Arial" w:cs="Arial" w:eastAsia="Arial" w:hAnsi="Arial"/>
          <w:b w:val="false"/>
          <w:bCs w:val="false"/>
          <w:i w:val="false"/>
          <w:iCs w:val="false"/>
          <w:color w:val="000000"/>
          <w:sz w:val="20"/>
          <w:szCs w:val="20"/>
        </w:rPr>
        <w:t xml:space="preserve">This is a part-time contractor engagement. The following parameters reflect the build model documented in TCA-WORKPLAN-2026-RI-001 and TCA-FINMOD-2026-REFENG-001: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4"/>
              <w:left w:val="single" w:color="AAAAAA" w:sz="1"/>
              <w:bottom w:val="single" w:color="1F3864" w:sz="4"/>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1F3864" w:sz="4"/>
              <w:left w:val="single" w:color="AAAAAA" w:sz="1"/>
              <w:bottom w:val="single" w:color="1F3864" w:sz="4"/>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Engagement type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Part-time contractor. Not an employment relationship.</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Build phase duration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20 weeks. Six implementation phases. Estimated 288 SE hours across the build phase including a 10% contingency buffer.</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Illustrative rate</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~$150/hr. Final rate subject to contractor agreement with 2678 Holdings LLC.</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Build phase cost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~$34,500–$43,200 depending on final hours and rate. This is the primary external cash cost of the build.</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Ongoing retainer</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Approximately 8 hours/month base retainer post-production. Scales with activity (quarterly reviews, DR drills, embedding model upgrades). Rate and retainer terms subject to the contractor agreement.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Reporting line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MRB (Principal, 2678 Holdings LLC) for day-to-day. Stan Hua (Senior Technology Advisor) for technical review and oversight.</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Decision authority</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You own infrastructure configuration decisions within the parameters set by the TRD and DBSPEC. Application architecture decisions are not in scope — those are fixed in the governing documents. Any deviations from the DBSPEC require MRB and Stan Hua approval.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Tools and access</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AWS account access provisioned at engagement start. GitHub repository access. Read access to all governing documentation. Secrets Manager access scoped to the Reference Engine secrets namespace.</w:t>
            </w:r>
          </w:p>
        </w:tc>
      </w:tr>
      <w:tr>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Knowledge transfer obligation</w:t>
            </w:r>
          </w:p>
        </w:tc>
        <w:tc>
          <w:tcPr>
            <w:tcW w:type="dxa" w:w="69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At the end of the build phase, you are required to deliver structured knowledge transfer sessions covering infrastructure, corpus management procedures, and troubleshooting. All infrastructure documentation must be delivered before the engagement is considered complete. This is WP-20 and it is a hard gate.</w:t>
            </w:r>
          </w:p>
        </w:tc>
      </w:tr>
    </w:tbl>
    <w:p>
      <w:pPr>
        <w:spacing w:after="0" w:before="80"/>
      </w:pPr>
      <w:r>
        <w:t xml:space="preserve"/>
      </w:r>
    </w:p>
    <w:p>
      <w:pPr>
        <w:pStyle w:val="Heading1"/>
        <w:spacing w:after="160" w:before="300"/>
      </w:pPr>
      <w:r>
        <w:rPr>
          <w:rFonts w:ascii="Arial" w:cs="Arial" w:eastAsia="Arial" w:hAnsi="Arial"/>
          <w:b/>
          <w:bCs/>
          <w:color w:val="1F3864"/>
          <w:sz w:val="26"/>
          <w:szCs w:val="26"/>
        </w:rPr>
        <w:t xml:space="preserve">9.  What This Role Is Not</w:t>
      </w:r>
    </w:p>
    <w:p>
      <w:pPr>
        <w:spacing w:after="60" w:before="60"/>
      </w:pPr>
      <w:r>
        <w:rPr>
          <w:rFonts w:ascii="Arial" w:cs="Arial" w:eastAsia="Arial" w:hAnsi="Arial"/>
          <w:b w:val="false"/>
          <w:bCs w:val="false"/>
          <w:i w:val="false"/>
          <w:iCs w:val="false"/>
          <w:color w:val="000000"/>
          <w:sz w:val="20"/>
          <w:szCs w:val="20"/>
        </w:rPr>
        <w:t xml:space="preserve">In the interest of clarity:</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000000"/>
          <w:sz w:val="20"/>
          <w:szCs w:val="20"/>
        </w:rPr>
        <w:t xml:space="preserve">You are not the application architect. The architecture is decided and documented. You are executing against a complete specification, not designing it.</w:t>
      </w:r>
    </w:p>
    <w:p>
      <w:pPr>
        <w:pStyle w:val="ListParagraph"/>
        <w:numPr>
          <w:ilvl w:val="0"/>
          <w:numId w:val="2"/>
        </w:numPr>
        <w:spacing w:after="40" w:before="40"/>
      </w:pPr>
      <w:r>
        <w:rPr>
          <w:rFonts w:ascii="Arial" w:cs="Arial" w:eastAsia="Arial" w:hAnsi="Arial"/>
          <w:b w:val="false"/>
          <w:bCs w:val="false"/>
          <w:color w:val="000000"/>
          <w:sz w:val="20"/>
          <w:szCs w:val="20"/>
        </w:rPr>
        <w:t xml:space="preserve">You are not the primary developer. Claude writes the application code. Your role is infrastructure, deployment, security, and operations.</w:t>
      </w:r>
    </w:p>
    <w:p>
      <w:pPr>
        <w:pStyle w:val="ListParagraph"/>
        <w:numPr>
          <w:ilvl w:val="0"/>
          <w:numId w:val="2"/>
        </w:numPr>
        <w:spacing w:after="40" w:before="40"/>
      </w:pPr>
      <w:r>
        <w:rPr>
          <w:rFonts w:ascii="Arial" w:cs="Arial" w:eastAsia="Arial" w:hAnsi="Arial"/>
          <w:b w:val="false"/>
          <w:bCs w:val="false"/>
          <w:color w:val="000000"/>
          <w:sz w:val="20"/>
          <w:szCs w:val="20"/>
        </w:rPr>
        <w:t xml:space="preserve">You are not a full-time employee. This is a part-time contractor engagement. The workload during the build phase is concentrated but bounded. The post-production retainer is genuinely part-time.</w:t>
      </w:r>
    </w:p>
    <w:p>
      <w:pPr>
        <w:pStyle w:val="ListParagraph"/>
        <w:numPr>
          <w:ilvl w:val="0"/>
          <w:numId w:val="2"/>
        </w:numPr>
        <w:spacing w:after="40" w:before="40"/>
      </w:pPr>
      <w:r>
        <w:rPr>
          <w:rFonts w:ascii="Arial" w:cs="Arial" w:eastAsia="Arial" w:hAnsi="Arial"/>
          <w:b w:val="false"/>
          <w:bCs w:val="false"/>
          <w:color w:val="000000"/>
          <w:sz w:val="20"/>
          <w:szCs w:val="20"/>
        </w:rPr>
        <w:t xml:space="preserve">You are not working alone. MRB and Stan Hua are engaged throughout. Claude is your primary counterpart on application code. The R&amp;I team (Ganlin, Ella) will be active participants during UAT.</w:t>
      </w:r>
    </w:p>
    <w:p>
      <w:pPr>
        <w:pStyle w:val="ListParagraph"/>
        <w:numPr>
          <w:ilvl w:val="0"/>
          <w:numId w:val="2"/>
        </w:numPr>
        <w:spacing w:after="40" w:before="40"/>
      </w:pPr>
      <w:r>
        <w:rPr>
          <w:rFonts w:ascii="Arial" w:cs="Arial" w:eastAsia="Arial" w:hAnsi="Arial"/>
          <w:b w:val="false"/>
          <w:bCs w:val="false"/>
          <w:color w:val="000000"/>
          <w:sz w:val="20"/>
          <w:szCs w:val="20"/>
        </w:rPr>
        <w:t xml:space="preserve">You are not being asked to make the case for a different architecture. The platform is AWS. The database is Aurora PostgreSQL with pgvector and PostGIS. The embedding model is OpenAI text-embedding-3-large. The reranker is Cohere Rerank. These decisions are closed. If you have experience that suggests a specific configuration choice within those decisions, that input is welcome. If your instinct is to relitigate the stack choices, this is not the right engagement.</w:t>
      </w:r>
    </w:p>
    <w:p>
      <w:pPr>
        <w:spacing w:after="0" w:before="80"/>
      </w:pPr>
      <w:r>
        <w:t xml:space="preserve"/>
      </w:r>
    </w:p>
    <w:p>
      <w:pPr>
        <w:pStyle w:val="Heading1"/>
        <w:spacing w:after="160" w:before="300"/>
      </w:pPr>
      <w:r>
        <w:rPr>
          <w:rFonts w:ascii="Arial" w:cs="Arial" w:eastAsia="Arial" w:hAnsi="Arial"/>
          <w:b/>
          <w:bCs/>
          <w:color w:val="1F3864"/>
          <w:sz w:val="26"/>
          <w:szCs w:val="26"/>
        </w:rPr>
        <w:t xml:space="preserve">10.  Next Steps</w:t>
      </w:r>
    </w:p>
    <w:p>
      <w:pPr>
        <w:spacing w:after="60" w:before="60"/>
      </w:pPr>
      <w:r>
        <w:rPr>
          <w:rFonts w:ascii="Arial" w:cs="Arial" w:eastAsia="Arial" w:hAnsi="Arial"/>
          <w:b w:val="false"/>
          <w:bCs w:val="false"/>
          <w:i w:val="false"/>
          <w:iCs w:val="false"/>
          <w:color w:val="000000"/>
          <w:sz w:val="20"/>
          <w:szCs w:val="20"/>
        </w:rPr>
        <w:t xml:space="preserve">If you are progressing to interview, you will receive read access to TCA-TRD-2026-REFENG-001_Final_v1.0 and TCA-DBSPEC-2026-REFENG-001 in advance of the conversation. We expect you to have read both documents. The interview will focus on your approach to the work packages in Section 4 of this memo and your operational experience with the technical prerequisites in Section 7.</w:t>
      </w:r>
    </w:p>
    <w:p>
      <w:pPr>
        <w:spacing w:after="0" w:before="80"/>
      </w:pPr>
      <w:r>
        <w:t xml:space="preserve"/>
      </w:r>
    </w:p>
    <w:p>
      <w:pPr>
        <w:spacing w:after="60" w:before="60"/>
      </w:pPr>
      <w:r>
        <w:rPr>
          <w:rFonts w:ascii="Arial" w:cs="Arial" w:eastAsia="Arial" w:hAnsi="Arial"/>
          <w:b w:val="false"/>
          <w:bCs w:val="false"/>
          <w:i w:val="false"/>
          <w:iCs w:val="false"/>
          <w:color w:val="000000"/>
          <w:sz w:val="20"/>
          <w:szCs w:val="20"/>
        </w:rPr>
        <w:t xml:space="preserve">Questions, clarifications, or expressions of interest should be directed to MRB.</w:t>
      </w:r>
    </w:p>
    <w:p>
      <w:pPr>
        <w:spacing w:after="0" w:before="80"/>
      </w:pPr>
      <w:r>
        <w:t xml:space="preserve"/>
      </w:r>
    </w:p>
    <w:p>
      <w:pPr>
        <w:pBdr>
          <w:bottom w:val="single" w:color="D9E1F2" w:sz="4" w:space="1"/>
        </w:pBdr>
        <w:spacing w:after="120" w:before="120"/>
      </w:pPr>
      <w:r>
        <w:t xml:space="preserve"/>
      </w:r>
    </w:p>
    <w:p>
      <w:pPr>
        <w:spacing w:after="20" w:before="60"/>
      </w:pPr>
      <w:r>
        <w:rPr>
          <w:rFonts w:ascii="Arial" w:cs="Arial" w:eastAsia="Arial" w:hAnsi="Arial"/>
          <w:b/>
          <w:bCs/>
          <w:color w:val="1F3864"/>
          <w:sz w:val="20"/>
          <w:szCs w:val="20"/>
        </w:rPr>
        <w:t xml:space="preserve">MRB</w:t>
      </w:r>
    </w:p>
    <w:p>
      <w:pPr>
        <w:spacing w:after="20" w:before="0"/>
      </w:pPr>
      <w:r>
        <w:rPr>
          <w:rFonts w:ascii="Arial" w:cs="Arial" w:eastAsia="Arial" w:hAnsi="Arial"/>
          <w:i/>
          <w:iCs/>
          <w:color w:val="555555"/>
          <w:sz w:val="18"/>
          <w:szCs w:val="18"/>
        </w:rPr>
        <w:t xml:space="preserve">Principal, 2678 Holdings LLC</w:t>
      </w:r>
    </w:p>
    <w:p>
      <w:pPr>
        <w:spacing w:after="60" w:before="0"/>
      </w:pPr>
      <w:r>
        <w:rPr>
          <w:rFonts w:ascii="Arial" w:cs="Arial" w:eastAsia="Arial" w:hAnsi="Arial"/>
          <w:i/>
          <w:iCs/>
          <w:color w:val="555555"/>
          <w:sz w:val="18"/>
          <w:szCs w:val="18"/>
        </w:rPr>
        <w:t xml:space="preserve">TokenCap Advisors LLC  |  A 2678 Holdings LLC Company</w:t>
      </w:r>
    </w:p>
    <w:p>
      <w:pPr>
        <w:spacing w:after="0" w:before="0"/>
      </w:pPr>
      <w:r>
        <w:rPr>
          <w:rFonts w:ascii="Arial" w:cs="Arial" w:eastAsia="Arial" w:hAnsi="Arial"/>
          <w:color w:val="888888"/>
          <w:sz w:val="16"/>
          <w:szCs w:val="16"/>
        </w:rPr>
        <w:t xml:space="preserve">TCA-MEMO-2026-SE-BRIEF-001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496" w:sz="4" w:space="1"/>
      </w:pBdr>
      <w:tabs>
        <w:tab w:val="right" w:pos="9360"/>
      </w:tabs>
    </w:pPr>
    <w:r>
      <w:rPr>
        <w:rFonts w:ascii="Arial" w:cs="Arial" w:eastAsia="Arial" w:hAnsi="Arial"/>
        <w:color w:val="888888"/>
        <w:sz w:val="16"/>
        <w:szCs w:val="16"/>
      </w:rPr>
      <w:t xml:space="preserve">TokenCap Advisors LLC  |  2678 Holdings LLC</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4" w:space="1"/>
      </w:pBdr>
    </w:pPr>
    <w:r>
      <w:rPr>
        <w:rFonts w:ascii="Arial" w:cs="Arial" w:eastAsia="Arial" w:hAnsi="Arial"/>
        <w:color w:val="888888"/>
        <w:sz w:val="16"/>
        <w:szCs w:val="16"/>
      </w:rPr>
      <w:t xml:space="preserve">TCA Reference Engine — Senior Systems Engineer Role Briefing  |  TCA-MEMO-2026-SE-BRIEF-001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2026-06-04T13:16:17.844Z</dcterms:created>
  <dcterms:modified xsi:type="dcterms:W3CDTF">2026-06-04T13:16:17.857Z</dcterms:modified>
</cp:coreProperties>
</file>

<file path=docProps/custom.xml><?xml version="1.0" encoding="utf-8"?>
<Properties xmlns="http://schemas.openxmlformats.org/officeDocument/2006/custom-properties" xmlns:vt="http://schemas.openxmlformats.org/officeDocument/2006/docPropsVTypes"/>
</file>