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80" w:before="200"/>
      </w:pPr>
      <w:r>
        <w:rPr>
          <w:rFonts w:ascii="Arial" w:cs="Arial" w:eastAsia="Arial" w:hAnsi="Arial"/>
          <w:b/>
          <w:bCs/>
          <w:caps/>
          <w:color w:val="6B7280"/>
          <w:sz w:val="20"/>
          <w:szCs w:val="20"/>
        </w:rPr>
        <w:t xml:space="preserve">TOKENCAP ADVISORS LLC</w:t>
      </w:r>
    </w:p>
    <w:p>
      <w:pPr>
        <w:spacing w:after="60" w:before="0"/>
      </w:pPr>
      <w:r>
        <w:rPr>
          <w:rFonts w:ascii="Arial" w:cs="Arial" w:eastAsia="Arial" w:hAnsi="Arial"/>
          <w:b/>
          <w:bCs/>
          <w:color w:val="1B3A6B"/>
          <w:sz w:val="56"/>
          <w:szCs w:val="56"/>
        </w:rPr>
        <w:t xml:space="preserve">R&amp;I Reference Engine</w:t>
      </w:r>
    </w:p>
    <w:p>
      <w:pPr>
        <w:spacing w:after="80" w:before="0"/>
      </w:pPr>
      <w:r>
        <w:rPr>
          <w:rFonts w:ascii="Arial" w:cs="Arial" w:eastAsia="Arial" w:hAnsi="Arial"/>
          <w:color w:val="2E6DA4"/>
          <w:sz w:val="36"/>
          <w:szCs w:val="36"/>
        </w:rPr>
        <w:t xml:space="preserve">Technical Requirements Document</w:t>
      </w:r>
    </w:p>
    <w:p>
      <w:pPr>
        <w:pBdr>
          <w:bottom w:val="single" w:color="2E6DA4" w:sz="4" w:space="1"/>
        </w:pBdr>
        <w:spacing w:after="160" w:before="160"/>
      </w:pPr>
      <w:r>
        <w:t xml:space="preserve"/>
      </w:r>
    </w:p>
    <w:p>
      <w:pPr>
        <w:spacing w:after="40" w:before="80"/>
      </w:pPr>
      <w:r>
        <w:rPr>
          <w:rFonts w:ascii="Arial" w:cs="Arial" w:eastAsia="Arial" w:hAnsi="Arial"/>
          <w:b/>
          <w:bCs/>
          <w:color w:val="6B7280"/>
          <w:sz w:val="20"/>
          <w:szCs w:val="20"/>
        </w:rPr>
        <w:t xml:space="preserve">Document ID: </w:t>
      </w:r>
      <w:r>
        <w:rPr>
          <w:rFonts w:ascii="Arial" w:cs="Arial" w:eastAsia="Arial" w:hAnsi="Arial"/>
          <w:color w:val="1A1A1A"/>
          <w:sz w:val="20"/>
          <w:szCs w:val="20"/>
        </w:rPr>
        <w:t xml:space="preserve">TCA-TRD-2026-RI-001</w:t>
      </w:r>
    </w:p>
    <w:p>
      <w:pPr>
        <w:spacing w:after="40" w:before="40"/>
      </w:pPr>
      <w:r>
        <w:rPr>
          <w:rFonts w:ascii="Arial" w:cs="Arial" w:eastAsia="Arial" w:hAnsi="Arial"/>
          <w:b/>
          <w:bCs/>
          <w:color w:val="6B7280"/>
          <w:sz w:val="20"/>
          <w:szCs w:val="20"/>
        </w:rPr>
        <w:t xml:space="preserve">Version: </w:t>
      </w:r>
      <w:r>
        <w:rPr>
          <w:rFonts w:ascii="Arial" w:cs="Arial" w:eastAsia="Arial" w:hAnsi="Arial"/>
          <w:color w:val="1A1A1A"/>
          <w:sz w:val="20"/>
          <w:szCs w:val="20"/>
        </w:rPr>
        <w:t xml:space="preserve">1.0 — Initial Release</w:t>
      </w:r>
    </w:p>
    <w:p>
      <w:pPr>
        <w:spacing w:after="40" w:before="40"/>
      </w:pPr>
      <w:r>
        <w:rPr>
          <w:rFonts w:ascii="Arial" w:cs="Arial" w:eastAsia="Arial" w:hAnsi="Arial"/>
          <w:b/>
          <w:bCs/>
          <w:color w:val="6B7280"/>
          <w:sz w:val="20"/>
          <w:szCs w:val="20"/>
        </w:rPr>
        <w:t xml:space="preserve">Status: </w:t>
      </w:r>
      <w:r>
        <w:rPr>
          <w:rFonts w:ascii="Arial" w:cs="Arial" w:eastAsia="Arial" w:hAnsi="Arial"/>
          <w:color w:val="1A1A1A"/>
          <w:sz w:val="20"/>
          <w:szCs w:val="20"/>
        </w:rPr>
        <w:t xml:space="preserve">DRAFT — Pending MRB Approval</w:t>
      </w:r>
    </w:p>
    <w:p>
      <w:pPr>
        <w:spacing w:after="40" w:before="40"/>
      </w:pPr>
      <w:r>
        <w:rPr>
          <w:rFonts w:ascii="Arial" w:cs="Arial" w:eastAsia="Arial" w:hAnsi="Arial"/>
          <w:b/>
          <w:bCs/>
          <w:color w:val="6B7280"/>
          <w:sz w:val="20"/>
          <w:szCs w:val="20"/>
        </w:rPr>
        <w:t xml:space="preserve">Prepared By: </w:t>
      </w:r>
      <w:r>
        <w:rPr>
          <w:rFonts w:ascii="Arial" w:cs="Arial" w:eastAsia="Arial" w:hAnsi="Arial"/>
          <w:color w:val="1A1A1A"/>
          <w:sz w:val="20"/>
          <w:szCs w:val="20"/>
        </w:rPr>
        <w:t xml:space="preserve">MRB, Principal — 2678 Holdings LLC</w:t>
      </w:r>
    </w:p>
    <w:p>
      <w:pPr>
        <w:spacing w:after="40" w:before="40"/>
      </w:pPr>
      <w:r>
        <w:rPr>
          <w:rFonts w:ascii="Arial" w:cs="Arial" w:eastAsia="Arial" w:hAnsi="Arial"/>
          <w:b/>
          <w:bCs/>
          <w:color w:val="6B7280"/>
          <w:sz w:val="20"/>
          <w:szCs w:val="20"/>
        </w:rPr>
        <w:t xml:space="preserve">Date: </w:t>
      </w:r>
      <w:r>
        <w:rPr>
          <w:rFonts w:ascii="Arial" w:cs="Arial" w:eastAsia="Arial" w:hAnsi="Arial"/>
          <w:color w:val="1A1A1A"/>
          <w:sz w:val="20"/>
          <w:szCs w:val="20"/>
        </w:rPr>
        <w:t xml:space="preserve">May 2026</w:t>
      </w:r>
    </w:p>
    <w:p>
      <w:pPr>
        <w:spacing w:after="40" w:before="40"/>
      </w:pPr>
      <w:r>
        <w:rPr>
          <w:rFonts w:ascii="Arial" w:cs="Arial" w:eastAsia="Arial" w:hAnsi="Arial"/>
          <w:b/>
          <w:bCs/>
          <w:color w:val="6B7280"/>
          <w:sz w:val="20"/>
          <w:szCs w:val="20"/>
        </w:rPr>
        <w:t xml:space="preserve">Related Documents: </w:t>
      </w:r>
      <w:r>
        <w:rPr>
          <w:rFonts w:ascii="Arial" w:cs="Arial" w:eastAsia="Arial" w:hAnsi="Arial"/>
          <w:color w:val="1A1A1A"/>
          <w:sz w:val="20"/>
          <w:szCs w:val="20"/>
        </w:rPr>
        <w:t xml:space="preserve">TCA-WORKPLAN-2026-RI-001 (R&amp;I Reference Engine Work Plan)</w:t>
      </w:r>
    </w:p>
    <w:p>
      <w:pPr>
        <w:spacing w:after="80" w:before="40"/>
      </w:pPr>
      <w:r>
        <w:rPr>
          <w:rFonts w:ascii="Arial" w:cs="Arial" w:eastAsia="Arial" w:hAnsi="Arial"/>
          <w:b/>
          <w:bCs/>
          <w:color w:val="6B7280"/>
          <w:sz w:val="20"/>
          <w:szCs w:val="20"/>
        </w:rPr>
        <w:t xml:space="preserve">Technical Oversight: </w:t>
      </w:r>
      <w:r>
        <w:rPr>
          <w:rFonts w:ascii="Arial" w:cs="Arial" w:eastAsia="Arial" w:hAnsi="Arial"/>
          <w:color w:val="1A1A1A"/>
          <w:sz w:val="20"/>
          <w:szCs w:val="20"/>
        </w:rPr>
        <w:t xml:space="preserve">Stan Hua, Senior Technology Advisor</w:t>
      </w:r>
    </w:p>
    <w:p>
      <w:pPr>
        <w:pBdr>
          <w:bottom w:val="single" w:color="2E6DA4" w:sz="4" w:space="1"/>
        </w:pBdr>
        <w:spacing w:after="160" w:before="160"/>
      </w:pPr>
      <w:r>
        <w:t xml:space="preserve"/>
      </w:r>
    </w:p>
    <w:p>
      <w:pPr>
        <w:pStyle w:val="Heading1"/>
        <w:spacing w:after="140" w:before="400"/>
      </w:pPr>
      <w:r>
        <w:rPr>
          <w:rFonts w:ascii="Arial" w:cs="Arial" w:eastAsia="Arial" w:hAnsi="Arial"/>
          <w:b/>
          <w:bCs/>
          <w:color w:val="1B3A6B"/>
          <w:sz w:val="34"/>
          <w:szCs w:val="34"/>
        </w:rPr>
        <w:t xml:space="preserve">1. Purpose &amp; Scope</w:t>
      </w:r>
    </w:p>
    <w:p>
      <w:pPr>
        <w:spacing w:after="80" w:before="80"/>
      </w:pPr>
      <w:r>
        <w:rPr>
          <w:rFonts w:ascii="Arial" w:cs="Arial" w:eastAsia="Arial" w:hAnsi="Arial"/>
          <w:b w:val="false"/>
          <w:bCs w:val="false"/>
          <w:i w:val="false"/>
          <w:iCs w:val="false"/>
          <w:color w:val="1A1A1A"/>
          <w:sz w:val="20"/>
          <w:szCs w:val="20"/>
        </w:rPr>
        <w:t xml:space="preserve">This Technical Requirements Document (TRD) defines the complete functional, non-functional, architectural, data, and operational requirements for the TCA R&amp;I Reference Engine. It serves as the authoritative specification from which the system roadmap, detailed design, and implementation plan will be derived.</w:t>
      </w:r>
    </w:p>
    <w:p>
      <w:r>
        <w:t xml:space="preserve"/>
      </w:r>
    </w:p>
    <w:p>
      <w:pPr>
        <w:spacing w:after="80" w:before="80"/>
      </w:pPr>
      <w:r>
        <w:rPr>
          <w:rFonts w:ascii="Arial" w:cs="Arial" w:eastAsia="Arial" w:hAnsi="Arial"/>
          <w:b w:val="false"/>
          <w:bCs w:val="false"/>
          <w:i w:val="false"/>
          <w:iCs w:val="false"/>
          <w:color w:val="1A1A1A"/>
          <w:sz w:val="20"/>
          <w:szCs w:val="20"/>
        </w:rPr>
        <w:t xml:space="preserve">The TRD governs all decisions made by the build team — Claude (primary development resource), the Senior Systems Engineer (contractor), and Stan Hua (Technical Oversight) — throughout the design, build, and maintenance lifecycle of the system. Requirements marked MUST are non-negotiable for production launch. Requirements marked SHOULD are strongly recommended and will be deferred only with documented rationale. Requirements marked MAY are optional enhancements.</w:t>
      </w:r>
    </w:p>
    <w:p>
      <w:r>
        <w:t xml:space="preserve"/>
      </w:r>
    </w:p>
    <w:p>
      <w:pPr>
        <w:pStyle w:val="Heading2"/>
        <w:spacing w:after="100" w:before="300"/>
      </w:pPr>
      <w:r>
        <w:rPr>
          <w:rFonts w:ascii="Arial" w:cs="Arial" w:eastAsia="Arial" w:hAnsi="Arial"/>
          <w:b/>
          <w:bCs/>
          <w:color w:val="2E6DA4"/>
          <w:sz w:val="26"/>
          <w:szCs w:val="26"/>
        </w:rPr>
        <w:t xml:space="preserve">1.1  System Identification</w:t>
      </w:r>
    </w:p>
    <w:p>
      <w:pPr>
        <w:spacing w:after="80" w:before="80"/>
      </w:pPr>
      <w:r>
        <w:rPr>
          <w:rFonts w:ascii="Arial" w:cs="Arial" w:eastAsia="Arial" w:hAnsi="Arial"/>
          <w:b w:val="false"/>
          <w:bCs w:val="false"/>
          <w:i w:val="false"/>
          <w:iCs w:val="false"/>
          <w:color w:val="1A1A1A"/>
          <w:sz w:val="20"/>
          <w:szCs w:val="20"/>
        </w:rPr>
        <w:t xml:space="preserve">System Name: TCA R&amp;I Reference Engine</w:t>
      </w:r>
    </w:p>
    <w:p>
      <w:pPr>
        <w:spacing w:after="80" w:before="80"/>
      </w:pPr>
      <w:r>
        <w:rPr>
          <w:rFonts w:ascii="Arial" w:cs="Arial" w:eastAsia="Arial" w:hAnsi="Arial"/>
          <w:b w:val="false"/>
          <w:bCs w:val="false"/>
          <w:i w:val="false"/>
          <w:iCs w:val="false"/>
          <w:color w:val="1A1A1A"/>
          <w:sz w:val="20"/>
          <w:szCs w:val="20"/>
        </w:rPr>
        <w:t xml:space="preserve">Document ID: TCA-TRD-2026-RI-001</w:t>
      </w:r>
    </w:p>
    <w:p>
      <w:pPr>
        <w:spacing w:after="80" w:before="80"/>
      </w:pPr>
      <w:r>
        <w:rPr>
          <w:rFonts w:ascii="Arial" w:cs="Arial" w:eastAsia="Arial" w:hAnsi="Arial"/>
          <w:b w:val="false"/>
          <w:bCs w:val="false"/>
          <w:i w:val="false"/>
          <w:iCs w:val="false"/>
          <w:color w:val="1A1A1A"/>
          <w:sz w:val="20"/>
          <w:szCs w:val="20"/>
        </w:rPr>
        <w:t xml:space="preserve">Parent Work Plan: TCA-WORKPLAN-2026-RI-001</w:t>
      </w:r>
    </w:p>
    <w:p>
      <w:pPr>
        <w:spacing w:after="80" w:before="80"/>
      </w:pPr>
      <w:r>
        <w:rPr>
          <w:rFonts w:ascii="Arial" w:cs="Arial" w:eastAsia="Arial" w:hAnsi="Arial"/>
          <w:b w:val="false"/>
          <w:bCs w:val="false"/>
          <w:i w:val="false"/>
          <w:iCs w:val="false"/>
          <w:color w:val="1A1A1A"/>
          <w:sz w:val="20"/>
          <w:szCs w:val="20"/>
        </w:rPr>
        <w:t xml:space="preserve">System Owner: TokenCap Advisors LLC (TCA), a 2678 Holdings LLC company</w:t>
      </w:r>
    </w:p>
    <w:p>
      <w:r>
        <w:t xml:space="preserve"/>
      </w:r>
    </w:p>
    <w:p>
      <w:pPr>
        <w:pStyle w:val="Heading2"/>
        <w:spacing w:after="100" w:before="300"/>
      </w:pPr>
      <w:r>
        <w:rPr>
          <w:rFonts w:ascii="Arial" w:cs="Arial" w:eastAsia="Arial" w:hAnsi="Arial"/>
          <w:b/>
          <w:bCs/>
          <w:color w:val="2E6DA4"/>
          <w:sz w:val="26"/>
          <w:szCs w:val="26"/>
        </w:rPr>
        <w:t xml:space="preserve">1.2  Out of Scope</w:t>
      </w:r>
    </w:p>
    <w:p>
      <w:pPr>
        <w:spacing w:after="80" w:before="80"/>
      </w:pPr>
      <w:r>
        <w:rPr>
          <w:rFonts w:ascii="Arial" w:cs="Arial" w:eastAsia="Arial" w:hAnsi="Arial"/>
          <w:b w:val="false"/>
          <w:bCs w:val="false"/>
          <w:i w:val="false"/>
          <w:iCs w:val="false"/>
          <w:color w:val="1A1A1A"/>
          <w:sz w:val="20"/>
          <w:szCs w:val="20"/>
        </w:rPr>
        <w:t xml:space="preserve">The following are explicitly outside the scope of this TRD and the initial system build:</w:t>
      </w:r>
    </w:p>
    <w:p>
      <w:pPr>
        <w:pStyle w:val="ListParagraph"/>
        <w:numPr>
          <w:ilvl w:val="0"/>
          <w:numId w:val="2"/>
        </w:numPr>
        <w:spacing w:after="55" w:before="55"/>
      </w:pPr>
      <w:r>
        <w:rPr>
          <w:rFonts w:ascii="Arial" w:cs="Arial" w:eastAsia="Arial" w:hAnsi="Arial"/>
          <w:color w:val="1A1A1A"/>
          <w:sz w:val="20"/>
          <w:szCs w:val="20"/>
        </w:rPr>
        <w:t xml:space="preserve">Financial, market, or regulatory risk domain reference material (Phase 2 expansion)</w:t>
      </w:r>
    </w:p>
    <w:p>
      <w:pPr>
        <w:pStyle w:val="ListParagraph"/>
        <w:numPr>
          <w:ilvl w:val="0"/>
          <w:numId w:val="2"/>
        </w:numPr>
        <w:spacing w:after="55" w:before="55"/>
      </w:pPr>
      <w:r>
        <w:rPr>
          <w:rFonts w:ascii="Arial" w:cs="Arial" w:eastAsia="Arial" w:hAnsi="Arial"/>
          <w:color w:val="1A1A1A"/>
          <w:sz w:val="20"/>
          <w:szCs w:val="20"/>
        </w:rPr>
        <w:t xml:space="preserve">Public-facing or investor-facing interfaces</w:t>
      </w:r>
    </w:p>
    <w:p>
      <w:pPr>
        <w:pStyle w:val="ListParagraph"/>
        <w:numPr>
          <w:ilvl w:val="0"/>
          <w:numId w:val="2"/>
        </w:numPr>
        <w:spacing w:after="55" w:before="55"/>
      </w:pPr>
      <w:r>
        <w:rPr>
          <w:rFonts w:ascii="Arial" w:cs="Arial" w:eastAsia="Arial" w:hAnsi="Arial"/>
          <w:color w:val="1A1A1A"/>
          <w:sz w:val="20"/>
          <w:szCs w:val="20"/>
        </w:rPr>
        <w:t xml:space="preserve">Direct integration with the TCA Risk Engine scoring engine (an API stub is in scope; full integration is not)</w:t>
      </w:r>
    </w:p>
    <w:p>
      <w:pPr>
        <w:pStyle w:val="ListParagraph"/>
        <w:numPr>
          <w:ilvl w:val="0"/>
          <w:numId w:val="2"/>
        </w:numPr>
        <w:spacing w:after="55" w:before="55"/>
      </w:pPr>
      <w:r>
        <w:rPr>
          <w:rFonts w:ascii="Arial" w:cs="Arial" w:eastAsia="Arial" w:hAnsi="Arial"/>
          <w:color w:val="1A1A1A"/>
          <w:sz w:val="20"/>
          <w:szCs w:val="20"/>
        </w:rPr>
        <w:t xml:space="preserve">Fine-tuning or custom training of any foundation model</w:t>
      </w:r>
    </w:p>
    <w:p>
      <w:pPr>
        <w:pStyle w:val="ListParagraph"/>
        <w:numPr>
          <w:ilvl w:val="0"/>
          <w:numId w:val="2"/>
        </w:numPr>
        <w:spacing w:after="55" w:before="55"/>
      </w:pPr>
      <w:r>
        <w:rPr>
          <w:rFonts w:ascii="Arial" w:cs="Arial" w:eastAsia="Arial" w:hAnsi="Arial"/>
          <w:color w:val="1A1A1A"/>
          <w:sz w:val="20"/>
          <w:szCs w:val="20"/>
        </w:rPr>
        <w:t xml:space="preserve">Real-time streaming data ingestion (batch and scheduled ingestion only in Phase 1)</w:t>
      </w:r>
    </w:p>
    <w:p>
      <w:pPr>
        <w:pStyle w:val="ListParagraph"/>
        <w:numPr>
          <w:ilvl w:val="0"/>
          <w:numId w:val="2"/>
        </w:numPr>
        <w:spacing w:after="55" w:before="55"/>
      </w:pPr>
      <w:r>
        <w:rPr>
          <w:rFonts w:ascii="Arial" w:cs="Arial" w:eastAsia="Arial" w:hAnsi="Arial"/>
          <w:color w:val="1A1A1A"/>
          <w:sz w:val="20"/>
          <w:szCs w:val="20"/>
        </w:rPr>
        <w:t xml:space="preserve">Multi-language corpus support (English-language sources only in initial build)</w:t>
      </w:r>
    </w:p>
    <w:p>
      <w:r>
        <w:br/>
      </w:r>
    </w:p>
    <w:p>
      <w:pPr>
        <w:pStyle w:val="Heading1"/>
        <w:spacing w:after="140" w:before="400"/>
      </w:pPr>
      <w:r>
        <w:rPr>
          <w:rFonts w:ascii="Arial" w:cs="Arial" w:eastAsia="Arial" w:hAnsi="Arial"/>
          <w:b/>
          <w:bCs/>
          <w:color w:val="1B3A6B"/>
          <w:sz w:val="34"/>
          <w:szCs w:val="34"/>
        </w:rPr>
        <w:t xml:space="preserve">2. System Overview</w:t>
      </w:r>
    </w:p>
    <w:p>
      <w:pPr>
        <w:pStyle w:val="Heading2"/>
        <w:spacing w:after="100" w:before="300"/>
      </w:pPr>
      <w:r>
        <w:rPr>
          <w:rFonts w:ascii="Arial" w:cs="Arial" w:eastAsia="Arial" w:hAnsi="Arial"/>
          <w:b/>
          <w:bCs/>
          <w:color w:val="2E6DA4"/>
          <w:sz w:val="26"/>
          <w:szCs w:val="26"/>
        </w:rPr>
        <w:t xml:space="preserve">2.1  System Description</w:t>
      </w:r>
    </w:p>
    <w:p>
      <w:pPr>
        <w:spacing w:after="80" w:before="80"/>
      </w:pPr>
      <w:r>
        <w:rPr>
          <w:rFonts w:ascii="Arial" w:cs="Arial" w:eastAsia="Arial" w:hAnsi="Arial"/>
          <w:b w:val="false"/>
          <w:bCs w:val="false"/>
          <w:i w:val="false"/>
          <w:iCs w:val="false"/>
          <w:color w:val="1A1A1A"/>
          <w:sz w:val="20"/>
          <w:szCs w:val="20"/>
        </w:rPr>
        <w:t xml:space="preserve">The TCA R&amp;I Reference Engine is a Retrieval-Augmented Generation (RAG) knowledge system that provides TokenCap Advisors' Research &amp; Intelligence function with authoritative, auditable geological and technical reference material for E&amp;P project evaluation. When an R&amp;I analyst submits a query or uploads an operator-submitted document, the system retrieves the most relevant authoritative reference content from a curated corpus and synthesizes a structured, cited response.</w:t>
      </w:r>
    </w:p>
    <w:p>
      <w:r>
        <w:t xml:space="preserve"/>
      </w:r>
    </w:p>
    <w:p>
      <w:pPr>
        <w:spacing w:after="80" w:before="80"/>
      </w:pPr>
      <w:r>
        <w:rPr>
          <w:rFonts w:ascii="Arial" w:cs="Arial" w:eastAsia="Arial" w:hAnsi="Arial"/>
          <w:b w:val="false"/>
          <w:bCs w:val="false"/>
          <w:i w:val="false"/>
          <w:iCs w:val="false"/>
          <w:color w:val="1A1A1A"/>
          <w:sz w:val="20"/>
          <w:szCs w:val="20"/>
        </w:rPr>
        <w:t xml:space="preserve">The system is not a custom-trained or fine-tuned model. Knowledge is stored as retrievable, auditable documents in a vector database. Synthesis is performed by Claude at inference time, grounded exclusively in retrieved corpus content. This architecture ensures every factual claim in a system output is traceable to a specific source document and section.</w:t>
      </w:r>
    </w:p>
    <w:p>
      <w:r>
        <w:t xml:space="preserve"/>
      </w:r>
    </w:p>
    <w:p>
      <w:pPr>
        <w:pStyle w:val="Heading2"/>
        <w:spacing w:after="100" w:before="300"/>
      </w:pPr>
      <w:r>
        <w:rPr>
          <w:rFonts w:ascii="Arial" w:cs="Arial" w:eastAsia="Arial" w:hAnsi="Arial"/>
          <w:b/>
          <w:bCs/>
          <w:color w:val="2E6DA4"/>
          <w:sz w:val="26"/>
          <w:szCs w:val="26"/>
        </w:rPr>
        <w:t xml:space="preserve">2.2  Primary Use Cases</w:t>
      </w:r>
    </w:p>
    <w:p>
      <w:pPr>
        <w:spacing w:after="80" w:before="80"/>
      </w:pPr>
      <w:r>
        <w:rPr>
          <w:rFonts w:ascii="Arial" w:cs="Arial" w:eastAsia="Arial" w:hAnsi="Arial"/>
          <w:b w:val="false"/>
          <w:bCs w:val="false"/>
          <w:i w:val="false"/>
          <w:iCs w:val="false"/>
          <w:color w:val="1A1A1A"/>
          <w:sz w:val="20"/>
          <w:szCs w:val="20"/>
        </w:rPr>
        <w:t xml:space="preserve">UC-1: Geological Reference Query — R&amp;I analyst submits a natural language question (e.g., "What are the typical EUR ranges for Cotton Valley Lime wells in Henderson County, TX?"). The system retrieves relevant authoritative chunks and synthesizes a cited reference answer with confidence level.</w:t>
      </w:r>
    </w:p>
    <w:p>
      <w:r>
        <w:t xml:space="preserve"/>
      </w:r>
    </w:p>
    <w:p>
      <w:pPr>
        <w:spacing w:after="80" w:before="80"/>
      </w:pPr>
      <w:r>
        <w:rPr>
          <w:rFonts w:ascii="Arial" w:cs="Arial" w:eastAsia="Arial" w:hAnsi="Arial"/>
          <w:b w:val="false"/>
          <w:bCs w:val="false"/>
          <w:i w:val="false"/>
          <w:iCs w:val="false"/>
          <w:color w:val="1A1A1A"/>
          <w:sz w:val="20"/>
          <w:szCs w:val="20"/>
        </w:rPr>
        <w:t xml:space="preserve">UC-2: Operator Submission Comparison — R&amp;I analyst uploads an operator-submitted geologic or engineering document (e.g., a prospect summary PDF). The system extracts key quantitative claims, retrieves authoritative benchmarks, and returns a structured variance table identifying material deviations.</w:t>
      </w:r>
    </w:p>
    <w:p>
      <w:r>
        <w:t xml:space="preserve"/>
      </w:r>
    </w:p>
    <w:p>
      <w:pPr>
        <w:spacing w:after="80" w:before="80"/>
      </w:pPr>
      <w:r>
        <w:rPr>
          <w:rFonts w:ascii="Arial" w:cs="Arial" w:eastAsia="Arial" w:hAnsi="Arial"/>
          <w:b w:val="false"/>
          <w:bCs w:val="false"/>
          <w:i w:val="false"/>
          <w:iCs w:val="false"/>
          <w:color w:val="1A1A1A"/>
          <w:sz w:val="20"/>
          <w:szCs w:val="20"/>
        </w:rPr>
        <w:t xml:space="preserve">UC-3: Formation Benchmarking — R&amp;I analyst queries specific production parameters for a formation/basin combination (e.g., IP30 rates, decline curves, water cut) to use as evaluation benchmarks for a specific prospect.</w:t>
      </w:r>
    </w:p>
    <w:p>
      <w:r>
        <w:t xml:space="preserve"/>
      </w:r>
    </w:p>
    <w:p>
      <w:pPr>
        <w:spacing w:after="80" w:before="80"/>
      </w:pPr>
      <w:r>
        <w:rPr>
          <w:rFonts w:ascii="Arial" w:cs="Arial" w:eastAsia="Arial" w:hAnsi="Arial"/>
          <w:b w:val="false"/>
          <w:bCs w:val="false"/>
          <w:i w:val="false"/>
          <w:iCs w:val="false"/>
          <w:color w:val="1A1A1A"/>
          <w:sz w:val="20"/>
          <w:szCs w:val="20"/>
        </w:rPr>
        <w:t xml:space="preserve">UC-4: API-Based Risk Engine Feed — The TCA Risk Engine submits structured project parameters to the Reference Engine via REST API and receives back a benchmark comparison result for incorporation into the risk assessment workflow.</w:t>
      </w:r>
    </w:p>
    <w:p>
      <w:r>
        <w:t xml:space="preserve"/>
      </w:r>
    </w:p>
    <w:p>
      <w:pPr>
        <w:pStyle w:val="Heading2"/>
        <w:spacing w:after="100" w:before="300"/>
      </w:pPr>
      <w:r>
        <w:rPr>
          <w:rFonts w:ascii="Arial" w:cs="Arial" w:eastAsia="Arial" w:hAnsi="Arial"/>
          <w:b/>
          <w:bCs/>
          <w:color w:val="2E6DA4"/>
          <w:sz w:val="26"/>
          <w:szCs w:val="26"/>
        </w:rPr>
        <w:t xml:space="preserve">2.3  Primary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User</w:t>
            </w:r>
          </w:p>
        </w:tc>
        <w:tc>
          <w:tcPr>
            <w:tcW w:type="dxa" w:w="24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Role</w:t>
            </w:r>
          </w:p>
        </w:tc>
        <w:tc>
          <w:tcPr>
            <w:tcW w:type="dxa" w:w="496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Primary Interaction</w:t>
            </w:r>
          </w:p>
        </w:tc>
      </w:tr>
      <w:tr>
        <w:tc>
          <w:tcPr>
            <w:tcW w:type="dxa" w:w="2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Ganlin</w:t>
            </w:r>
          </w:p>
        </w:tc>
        <w:tc>
          <w:tcPr>
            <w:tcW w:type="dxa" w:w="2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R&amp;I Analyst (TCN/TCM)</w:t>
            </w:r>
          </w:p>
        </w:tc>
        <w:tc>
          <w:tcPr>
            <w:tcW w:type="dxa" w:w="49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Query Workspace, Document Comparison Workspace — primary daily user</w:t>
            </w:r>
          </w:p>
        </w:tc>
      </w:tr>
      <w:tr>
        <w:tc>
          <w:tcPr>
            <w:tcW w:type="dxa" w:w="2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Ella</w:t>
            </w:r>
          </w:p>
        </w:tc>
        <w:tc>
          <w:tcPr>
            <w:tcW w:type="dxa" w:w="2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R&amp;I Analyst (TCA)</w:t>
            </w:r>
          </w:p>
        </w:tc>
        <w:tc>
          <w:tcPr>
            <w:tcW w:type="dxa" w:w="49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Query Workspace, Document Comparison Workspace — primary daily user</w:t>
            </w:r>
          </w:p>
        </w:tc>
      </w:tr>
      <w:tr>
        <w:tc>
          <w:tcPr>
            <w:tcW w:type="dxa" w:w="2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Stan</w:t>
            </w:r>
          </w:p>
        </w:tc>
        <w:tc>
          <w:tcPr>
            <w:tcW w:type="dxa" w:w="2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Technical Oversight</w:t>
            </w:r>
          </w:p>
        </w:tc>
        <w:tc>
          <w:tcPr>
            <w:tcW w:type="dxa" w:w="49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Corpus Management Console, system monitoring, maintenance approvals</w:t>
            </w:r>
          </w:p>
        </w:tc>
      </w:tr>
      <w:tr>
        <w:tc>
          <w:tcPr>
            <w:tcW w:type="dxa" w:w="2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MRB</w:t>
            </w:r>
          </w:p>
        </w:tc>
        <w:tc>
          <w:tcPr>
            <w:tcW w:type="dxa" w:w="2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Principal / Product Owner</w:t>
            </w:r>
          </w:p>
        </w:tc>
        <w:tc>
          <w:tcPr>
            <w:tcW w:type="dxa" w:w="49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Corpus health dashboard, output review, requirement and governance decisions</w:t>
            </w:r>
          </w:p>
        </w:tc>
      </w:tr>
      <w:tr>
        <w:tc>
          <w:tcPr>
            <w:tcW w:type="dxa" w:w="2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Risk Engine</w:t>
            </w:r>
          </w:p>
        </w:tc>
        <w:tc>
          <w:tcPr>
            <w:tcW w:type="dxa" w:w="2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System (API consumer)</w:t>
            </w:r>
          </w:p>
        </w:tc>
        <w:tc>
          <w:tcPr>
            <w:tcW w:type="dxa" w:w="49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REST API — /compare endpoint for automated benchmark queries</w:t>
            </w:r>
          </w:p>
        </w:tc>
      </w:tr>
    </w:tbl>
    <w:p>
      <w:r>
        <w:br/>
      </w:r>
    </w:p>
    <w:p>
      <w:pPr>
        <w:pStyle w:val="Heading1"/>
        <w:spacing w:after="140" w:before="400"/>
      </w:pPr>
      <w:r>
        <w:rPr>
          <w:rFonts w:ascii="Arial" w:cs="Arial" w:eastAsia="Arial" w:hAnsi="Arial"/>
          <w:b/>
          <w:bCs/>
          <w:color w:val="1B3A6B"/>
          <w:sz w:val="34"/>
          <w:szCs w:val="34"/>
        </w:rPr>
        <w:t xml:space="preserve">3. System Architecture</w:t>
      </w:r>
    </w:p>
    <w:p>
      <w:pPr>
        <w:pStyle w:val="Heading2"/>
        <w:spacing w:after="100" w:before="300"/>
      </w:pPr>
      <w:r>
        <w:rPr>
          <w:rFonts w:ascii="Arial" w:cs="Arial" w:eastAsia="Arial" w:hAnsi="Arial"/>
          <w:b/>
          <w:bCs/>
          <w:color w:val="2E6DA4"/>
          <w:sz w:val="26"/>
          <w:szCs w:val="26"/>
        </w:rPr>
        <w:t xml:space="preserve">3.1  Architectural Pattern</w:t>
      </w:r>
    </w:p>
    <w:p>
      <w:pPr>
        <w:spacing w:after="80" w:before="80"/>
      </w:pPr>
      <w:r>
        <w:rPr>
          <w:rFonts w:ascii="Arial" w:cs="Arial" w:eastAsia="Arial" w:hAnsi="Arial"/>
          <w:b w:val="false"/>
          <w:bCs w:val="false"/>
          <w:i w:val="false"/>
          <w:iCs w:val="false"/>
          <w:color w:val="1A1A1A"/>
          <w:sz w:val="20"/>
          <w:szCs w:val="20"/>
        </w:rPr>
        <w:t xml:space="preserve">The system implements a four-layer RAG architecture. Each layer is independently maintainable and replaceable (see NFR-010). Layer boundaries are enforced through documented internal interfaces.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Layer</w:t>
            </w:r>
          </w:p>
        </w:tc>
        <w:tc>
          <w:tcPr>
            <w:tcW w:type="dxa" w:w="28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Components</w:t>
            </w:r>
          </w:p>
        </w:tc>
        <w:tc>
          <w:tcPr>
            <w:tcW w:type="dxa" w:w="496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Responsibility</w:t>
            </w:r>
          </w:p>
        </w:tc>
      </w:tr>
      <w:tr>
        <w:tc>
          <w:tcPr>
            <w:tcW w:type="dxa" w:w="16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Layer 1: Corpus</w:t>
            </w:r>
          </w:p>
        </w:tc>
        <w:tc>
          <w:tcPr>
            <w:tcW w:type="dxa" w:w="28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Document store (S3/GCS), ingestion pipeline, chunking engine, metadata database</w:t>
            </w:r>
          </w:p>
        </w:tc>
        <w:tc>
          <w:tcPr>
            <w:tcW w:type="dxa" w:w="49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Acquires, normalizes, stores, and versions all authoritative source documents and their metadata.</w:t>
            </w:r>
          </w:p>
        </w:tc>
      </w:tr>
      <w:tr>
        <w:tc>
          <w:tcPr>
            <w:tcW w:type="dxa" w:w="16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Layer 2: Indexing</w:t>
            </w:r>
          </w:p>
        </w:tc>
        <w:tc>
          <w:tcPr>
            <w:tcW w:type="dxa" w:w="28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Embedding model, vector database, BM25 index, re-ranking model</w:t>
            </w:r>
          </w:p>
        </w:tc>
        <w:tc>
          <w:tcPr>
            <w:tcW w:type="dxa" w:w="49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Transforms document chunks into searchable representations; maintains hybrid retrieval indexes.</w:t>
            </w:r>
          </w:p>
        </w:tc>
      </w:tr>
      <w:tr>
        <w:tc>
          <w:tcPr>
            <w:tcW w:type="dxa" w:w="16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Layer 3: Retrieval &amp; Synthesis</w:t>
            </w:r>
          </w:p>
        </w:tc>
        <w:tc>
          <w:tcPr>
            <w:tcW w:type="dxa" w:w="28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Retrieval orchestrator, filter engine, Claude API (synthesis), output formatter</w:t>
            </w:r>
          </w:p>
        </w:tc>
        <w:tc>
          <w:tcPr>
            <w:tcW w:type="dxa" w:w="49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Accepts queries, applies filters, executes hybrid retrieval, re-ranks, synthesizes grounded response.</w:t>
            </w:r>
          </w:p>
        </w:tc>
      </w:tr>
      <w:tr>
        <w:tc>
          <w:tcPr>
            <w:tcW w:type="dxa" w:w="16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Layer 4: Interface</w:t>
            </w:r>
          </w:p>
        </w:tc>
        <w:tc>
          <w:tcPr>
            <w:tcW w:type="dxa" w:w="28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Web application (Query/Compare/Admin), REST API</w:t>
            </w:r>
          </w:p>
        </w:tc>
        <w:tc>
          <w:tcPr>
            <w:tcW w:type="dxa" w:w="49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Provides analyst-facing UI and programmatic API surfaces; handles authentication and session management.</w:t>
            </w:r>
          </w:p>
        </w:tc>
      </w:tr>
    </w:tbl>
    <w:p>
      <w:r>
        <w:t xml:space="preserve"/>
      </w:r>
    </w:p>
    <w:p>
      <w:pPr>
        <w:pStyle w:val="Heading2"/>
        <w:spacing w:after="100" w:before="300"/>
      </w:pPr>
      <w:r>
        <w:rPr>
          <w:rFonts w:ascii="Arial" w:cs="Arial" w:eastAsia="Arial" w:hAnsi="Arial"/>
          <w:b/>
          <w:bCs/>
          <w:color w:val="2E6DA4"/>
          <w:sz w:val="26"/>
          <w:szCs w:val="26"/>
        </w:rPr>
        <w:t xml:space="preserve">3.2  Component Interaction Flow</w:t>
      </w:r>
    </w:p>
    <w:p>
      <w:pPr>
        <w:spacing w:after="80" w:before="80"/>
      </w:pPr>
      <w:r>
        <w:rPr>
          <w:rFonts w:ascii="Arial" w:cs="Arial" w:eastAsia="Arial" w:hAnsi="Arial"/>
          <w:b w:val="false"/>
          <w:bCs w:val="false"/>
          <w:i w:val="false"/>
          <w:iCs w:val="false"/>
          <w:color w:val="1A1A1A"/>
          <w:sz w:val="20"/>
          <w:szCs w:val="20"/>
        </w:rPr>
        <w:t xml:space="preserve">Standard Query Flow:</w:t>
      </w:r>
    </w:p>
    <w:p>
      <w:pPr>
        <w:pStyle w:val="ListParagraph"/>
        <w:numPr>
          <w:ilvl w:val="0"/>
          <w:numId w:val="3"/>
        </w:numPr>
        <w:spacing w:after="55" w:before="55"/>
      </w:pPr>
      <w:r>
        <w:rPr>
          <w:rFonts w:ascii="Arial" w:cs="Arial" w:eastAsia="Arial" w:hAnsi="Arial"/>
          <w:color w:val="1A1A1A"/>
          <w:sz w:val="20"/>
          <w:szCs w:val="20"/>
        </w:rPr>
        <w:t xml:space="preserve">Analyst submits query text and optional metadata filters via UI or API.</w:t>
      </w:r>
    </w:p>
    <w:p>
      <w:pPr>
        <w:pStyle w:val="ListParagraph"/>
        <w:numPr>
          <w:ilvl w:val="0"/>
          <w:numId w:val="3"/>
        </w:numPr>
        <w:spacing w:after="55" w:before="55"/>
      </w:pPr>
      <w:r>
        <w:rPr>
          <w:rFonts w:ascii="Arial" w:cs="Arial" w:eastAsia="Arial" w:hAnsi="Arial"/>
          <w:color w:val="1A1A1A"/>
          <w:sz w:val="20"/>
          <w:szCs w:val="20"/>
        </w:rPr>
        <w:t xml:space="preserve">Retrieval orchestrator constructs vector similarity query + BM25 keyword query.</w:t>
      </w:r>
    </w:p>
    <w:p>
      <w:pPr>
        <w:pStyle w:val="ListParagraph"/>
        <w:numPr>
          <w:ilvl w:val="0"/>
          <w:numId w:val="3"/>
        </w:numPr>
        <w:spacing w:after="55" w:before="55"/>
      </w:pPr>
      <w:r>
        <w:rPr>
          <w:rFonts w:ascii="Arial" w:cs="Arial" w:eastAsia="Arial" w:hAnsi="Arial"/>
          <w:color w:val="1A1A1A"/>
          <w:sz w:val="20"/>
          <w:szCs w:val="20"/>
        </w:rPr>
        <w:t xml:space="preserve">Both queries execute against the vector database and keyword index simultaneously.</w:t>
      </w:r>
    </w:p>
    <w:p>
      <w:pPr>
        <w:pStyle w:val="ListParagraph"/>
        <w:numPr>
          <w:ilvl w:val="0"/>
          <w:numId w:val="3"/>
        </w:numPr>
        <w:spacing w:after="55" w:before="55"/>
      </w:pPr>
      <w:r>
        <w:rPr>
          <w:rFonts w:ascii="Arial" w:cs="Arial" w:eastAsia="Arial" w:hAnsi="Arial"/>
          <w:color w:val="1A1A1A"/>
          <w:sz w:val="20"/>
          <w:szCs w:val="20"/>
        </w:rPr>
        <w:t xml:space="preserve">Results are merged using Reciprocal Rank Fusion or configurable weighting.</w:t>
      </w:r>
    </w:p>
    <w:p>
      <w:pPr>
        <w:pStyle w:val="ListParagraph"/>
        <w:numPr>
          <w:ilvl w:val="0"/>
          <w:numId w:val="3"/>
        </w:numPr>
        <w:spacing w:after="55" w:before="55"/>
      </w:pPr>
      <w:r>
        <w:rPr>
          <w:rFonts w:ascii="Arial" w:cs="Arial" w:eastAsia="Arial" w:hAnsi="Arial"/>
          <w:color w:val="1A1A1A"/>
          <w:sz w:val="20"/>
          <w:szCs w:val="20"/>
        </w:rPr>
        <w:t xml:space="preserve">Re-ranker (cross-encoder) scores merged candidates; top-k selected.</w:t>
      </w:r>
    </w:p>
    <w:p>
      <w:pPr>
        <w:pStyle w:val="ListParagraph"/>
        <w:numPr>
          <w:ilvl w:val="0"/>
          <w:numId w:val="3"/>
        </w:numPr>
        <w:spacing w:after="55" w:before="55"/>
      </w:pPr>
      <w:r>
        <w:rPr>
          <w:rFonts w:ascii="Arial" w:cs="Arial" w:eastAsia="Arial" w:hAnsi="Arial"/>
          <w:color w:val="1A1A1A"/>
          <w:sz w:val="20"/>
          <w:szCs w:val="20"/>
        </w:rPr>
        <w:t xml:space="preserve">Top-k chunks + query + synthesis prompt passed to Claude API.</w:t>
      </w:r>
    </w:p>
    <w:p>
      <w:pPr>
        <w:pStyle w:val="ListParagraph"/>
        <w:numPr>
          <w:ilvl w:val="0"/>
          <w:numId w:val="3"/>
        </w:numPr>
        <w:spacing w:after="55" w:before="55"/>
      </w:pPr>
      <w:r>
        <w:rPr>
          <w:rFonts w:ascii="Arial" w:cs="Arial" w:eastAsia="Arial" w:hAnsi="Arial"/>
          <w:color w:val="1A1A1A"/>
          <w:sz w:val="20"/>
          <w:szCs w:val="20"/>
        </w:rPr>
        <w:t xml:space="preserve">Claude generates grounded synthesis response with inline citations.</w:t>
      </w:r>
    </w:p>
    <w:p>
      <w:pPr>
        <w:pStyle w:val="ListParagraph"/>
        <w:numPr>
          <w:ilvl w:val="0"/>
          <w:numId w:val="3"/>
        </w:numPr>
        <w:spacing w:after="55" w:before="55"/>
      </w:pPr>
      <w:r>
        <w:rPr>
          <w:rFonts w:ascii="Arial" w:cs="Arial" w:eastAsia="Arial" w:hAnsi="Arial"/>
          <w:color w:val="1A1A1A"/>
          <w:sz w:val="20"/>
          <w:szCs w:val="20"/>
        </w:rPr>
        <w:t xml:space="preserve">Output formatter structures response with confidence level, source tier, and citation links.</w:t>
      </w:r>
    </w:p>
    <w:p>
      <w:pPr>
        <w:pStyle w:val="ListParagraph"/>
        <w:numPr>
          <w:ilvl w:val="0"/>
          <w:numId w:val="3"/>
        </w:numPr>
        <w:spacing w:after="55" w:before="55"/>
      </w:pPr>
      <w:r>
        <w:rPr>
          <w:rFonts w:ascii="Arial" w:cs="Arial" w:eastAsia="Arial" w:hAnsi="Arial"/>
          <w:color w:val="1A1A1A"/>
          <w:sz w:val="20"/>
          <w:szCs w:val="20"/>
        </w:rPr>
        <w:t xml:space="preserve">Response returned to analyst UI or API caller with full provenance metadata.</w:t>
      </w:r>
    </w:p>
    <w:p>
      <w:r>
        <w:t xml:space="preserve"/>
      </w:r>
    </w:p>
    <w:p>
      <w:pPr>
        <w:pStyle w:val="Heading2"/>
        <w:spacing w:after="100" w:before="300"/>
      </w:pPr>
      <w:r>
        <w:rPr>
          <w:rFonts w:ascii="Arial" w:cs="Arial" w:eastAsia="Arial" w:hAnsi="Arial"/>
          <w:b/>
          <w:bCs/>
          <w:color w:val="2E6DA4"/>
          <w:sz w:val="26"/>
          <w:szCs w:val="26"/>
        </w:rPr>
        <w:t xml:space="preserve">3.3  Key Architecture Decisions</w:t>
      </w:r>
    </w:p>
    <w:p>
      <w:pPr>
        <w:spacing w:after="80" w:before="80"/>
      </w:pPr>
      <w:r>
        <w:rPr>
          <w:rFonts w:ascii="Arial" w:cs="Arial" w:eastAsia="Arial" w:hAnsi="Arial"/>
          <w:b w:val="false"/>
          <w:bCs w:val="false"/>
          <w:i w:val="false"/>
          <w:iCs w:val="false"/>
          <w:color w:val="1A1A1A"/>
          <w:sz w:val="20"/>
          <w:szCs w:val="20"/>
        </w:rPr>
        <w:t xml:space="preserve">Architecture Decision Records (ADRs) governing this system are documented in Section 6. Key decisions: RAG over fine-tuning (ADR-001); hybrid retrieval (ADR-003, ADR-006); Claude as synthesis model (ADR-004); geology-aware chunking (ADR-006). Platform and vector database selections are deferred to Phase 1 architecture review (ADR-002, ADR-005).</w:t>
      </w:r>
    </w:p>
    <w:p>
      <w:r>
        <w:br/>
      </w:r>
    </w:p>
    <w:p>
      <w:pPr>
        <w:pStyle w:val="Heading1"/>
        <w:spacing w:after="140" w:before="400"/>
      </w:pPr>
      <w:r>
        <w:rPr>
          <w:rFonts w:ascii="Arial" w:cs="Arial" w:eastAsia="Arial" w:hAnsi="Arial"/>
          <w:b/>
          <w:bCs/>
          <w:color w:val="1B3A6B"/>
          <w:sz w:val="34"/>
          <w:szCs w:val="34"/>
        </w:rPr>
        <w:t xml:space="preserve">4. Functional Requirements</w:t>
      </w:r>
    </w:p>
    <w:p>
      <w:pPr>
        <w:spacing w:after="80" w:before="80"/>
      </w:pPr>
      <w:r>
        <w:rPr>
          <w:rFonts w:ascii="Arial" w:cs="Arial" w:eastAsia="Arial" w:hAnsi="Arial"/>
          <w:b w:val="false"/>
          <w:bCs w:val="false"/>
          <w:i w:val="false"/>
          <w:iCs w:val="false"/>
          <w:color w:val="1A1A1A"/>
          <w:sz w:val="20"/>
          <w:szCs w:val="20"/>
        </w:rPr>
        <w:t xml:space="preserve">Requirements use RFC 2119 priority language: SHALL = MUST (mandatory for production launch); SHOULD = strongly recommended (defer only with documented rationale); MAY = optional enhancement.</w:t>
      </w:r>
    </w:p>
    <w:p>
      <w:r>
        <w:t xml:space="preserve"/>
      </w:r>
    </w:p>
    <w:p>
      <w:pPr>
        <w:pStyle w:val="Heading2"/>
        <w:spacing w:after="100" w:before="300"/>
      </w:pPr>
      <w:r>
        <w:rPr>
          <w:rFonts w:ascii="Arial" w:cs="Arial" w:eastAsia="Arial" w:hAnsi="Arial"/>
          <w:b/>
          <w:bCs/>
          <w:color w:val="2E6DA4"/>
          <w:sz w:val="26"/>
          <w:szCs w:val="26"/>
        </w:rPr>
        <w:t xml:space="preserve">4.1  Corpus Ingestion &amp;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500"/>
        <w:gridCol w:w="1000"/>
      </w:tblGrid>
      <w:tr>
        <w:tc>
          <w:tcPr>
            <w:tcW w:type="dxa" w:w="9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REQ ID</w:t>
            </w:r>
          </w:p>
        </w:tc>
        <w:tc>
          <w:tcPr>
            <w:tcW w:type="dxa" w:w="34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Requirement</w:t>
            </w:r>
          </w:p>
        </w:tc>
        <w:tc>
          <w:tcPr>
            <w:tcW w:type="dxa" w:w="35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Rationale</w:t>
            </w:r>
          </w:p>
        </w:tc>
        <w:tc>
          <w:tcPr>
            <w:tcW w:type="dxa" w:w="10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Priority</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CRP-001</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support ingestion of PDF documents up to 500 MB per file.</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Geological source materials (USGS assessments, SPE papers, well log compilations) routinely exist as large multi-chapter PDFs.</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CRP-002</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support ingestion of structured data via REST API (JSON/CSV) from external providers (EIA, NoviLabs, RRC).</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Critical production benchmarks and type curve data are API-delivered, not document-based.</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CRP-003</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tag every ingested document with metadata: source name, source URL or DOI, publication date, domain category, formation/basin tag, and reliability tier (1/2/3).</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Metadata drives source citation quality and analyst trust in retrieval outputs.</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CRP-004</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enforce a reliability tier classification (Tier 1: primary government/academic; Tier 2: industry standard; Tier 3: secondary/contextual) on all corpus documents.</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Tiering enables analysts to weight evidence appropriately and supports auditability.</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CRP-005</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support incremental corpus updates (add, update, retire documents) without requiring full reindexing.</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Corpus must remain current as new formation studies and production data are published.</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CRP-006</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maintain a corpus version log: every document add, update, or retirement is recorded with timestamp, operator identity, and reason.</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Regulatory and internal audit requirements for TCA's advisory function.</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CRP-007</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SHOULD support ingestion of structured spreadsheet formats (.xlsx, .csv) for production data tables and type curve datasets.</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Many E&amp;P benchmark datasets are distributed as spreadsheets rather than PDFs.</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B07D00"/>
                <w:sz w:val="19"/>
                <w:szCs w:val="19"/>
              </w:rPr>
              <w:t xml:space="preserve">SHOULD</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CRP-008</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SHOULD support automated scheduled ingestion from configured API sources (EIA, RRC) on a defined cadence (weekly or monthly).</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Prevents corpus staleness for high-velocity data sources without manual operator intervention.</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B07D00"/>
                <w:sz w:val="19"/>
                <w:szCs w:val="19"/>
              </w:rPr>
              <w:t xml:space="preserve">SHOULD</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CRP-009</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MAY support ingestion of image-heavy documents (well log images, seismic sections) via OCR pre-processing.</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Well logs in image format contain critical geological data not accessible to standard text extractors.</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2E6DA4"/>
                <w:sz w:val="19"/>
                <w:szCs w:val="19"/>
              </w:rPr>
              <w:t xml:space="preserve">MAY</w:t>
            </w:r>
          </w:p>
        </w:tc>
      </w:tr>
    </w:tbl>
    <w:p>
      <w:r>
        <w:t xml:space="preserve"/>
      </w:r>
    </w:p>
    <w:p>
      <w:pPr>
        <w:pStyle w:val="Heading2"/>
        <w:spacing w:after="100" w:before="300"/>
      </w:pPr>
      <w:r>
        <w:rPr>
          <w:rFonts w:ascii="Arial" w:cs="Arial" w:eastAsia="Arial" w:hAnsi="Arial"/>
          <w:b/>
          <w:bCs/>
          <w:color w:val="2E6DA4"/>
          <w:sz w:val="26"/>
          <w:szCs w:val="26"/>
        </w:rPr>
        <w:t xml:space="preserve">4.2  Chunking &amp; Embedding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500"/>
        <w:gridCol w:w="1000"/>
      </w:tblGrid>
      <w:tr>
        <w:tc>
          <w:tcPr>
            <w:tcW w:type="dxa" w:w="9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REQ ID</w:t>
            </w:r>
          </w:p>
        </w:tc>
        <w:tc>
          <w:tcPr>
            <w:tcW w:type="dxa" w:w="34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Requirement</w:t>
            </w:r>
          </w:p>
        </w:tc>
        <w:tc>
          <w:tcPr>
            <w:tcW w:type="dxa" w:w="35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Rationale</w:t>
            </w:r>
          </w:p>
        </w:tc>
        <w:tc>
          <w:tcPr>
            <w:tcW w:type="dxa" w:w="10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Priority</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CHK-001</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implement section-aware chunking: geological documents are split at logical section boundaries, not fixed character counts.</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Fixed-size chunking fragments geological reasoning across chunks, degrading retrieval relevance.</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CHK-002</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preserve table and figure caption content as discrete retrievable units with parent-document metadata.</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Formation data tables and figure captions frequently contain the most precise quantitative reference data.</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CHK-003</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embed chunks using a production-grade embedding model supporting minimum 8,192-token context length.</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Geological formation descriptions and well completion reports routinely exceed standard 512-token embedding windows.</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CHK-004</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store raw chunk text, embedding vector, source metadata, and chunk position (document section, page range) in the vector database.</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Complete provenance enables drill-down citation and audit trail.</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CHK-005</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SHOULD implement overlapping chunk windows (minimum 15% overlap) to avoid splitting critical geological reasoning at boundaries.</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Overlap reduces the risk of severing a claim from its supporting evidence across adjacent chunks.</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B07D00"/>
                <w:sz w:val="19"/>
                <w:szCs w:val="19"/>
              </w:rPr>
              <w:t xml:space="preserve">SHOULD</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CHK-006</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SHOULD re-chunk and re-embed existing documents automatically when the embedding model is upgraded.</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Model upgrades otherwise produce incompatible vector spaces, degrading retrieval quality.</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B07D00"/>
                <w:sz w:val="19"/>
                <w:szCs w:val="19"/>
              </w:rPr>
              <w:t xml:space="preserve">SHOULD</w:t>
            </w:r>
          </w:p>
        </w:tc>
      </w:tr>
    </w:tbl>
    <w:p>
      <w:r>
        <w:t xml:space="preserve"/>
      </w:r>
    </w:p>
    <w:p>
      <w:r>
        <w:br/>
      </w:r>
    </w:p>
    <w:p>
      <w:pPr>
        <w:pStyle w:val="Heading2"/>
        <w:spacing w:after="100" w:before="300"/>
      </w:pPr>
      <w:r>
        <w:rPr>
          <w:rFonts w:ascii="Arial" w:cs="Arial" w:eastAsia="Arial" w:hAnsi="Arial"/>
          <w:b/>
          <w:bCs/>
          <w:color w:val="2E6DA4"/>
          <w:sz w:val="26"/>
          <w:szCs w:val="26"/>
        </w:rPr>
        <w:t xml:space="preserve">4.3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500"/>
        <w:gridCol w:w="1000"/>
      </w:tblGrid>
      <w:tr>
        <w:tc>
          <w:tcPr>
            <w:tcW w:type="dxa" w:w="9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REQ ID</w:t>
            </w:r>
          </w:p>
        </w:tc>
        <w:tc>
          <w:tcPr>
            <w:tcW w:type="dxa" w:w="34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Requirement</w:t>
            </w:r>
          </w:p>
        </w:tc>
        <w:tc>
          <w:tcPr>
            <w:tcW w:type="dxa" w:w="35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Rationale</w:t>
            </w:r>
          </w:p>
        </w:tc>
        <w:tc>
          <w:tcPr>
            <w:tcW w:type="dxa" w:w="10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Priority</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RET-001</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return a minimum of 5 and maximum of 20 retrievable chunks per query, configurable by administrators.</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Over-retrieval floods the synthesis context; under-retrieval misses relevant sources. Optimal k is query-dependent.</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RET-002</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apply metadata filters at retrieval time: analysts may constrain results by source tier, formation, basin, date range, or domain category.</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R&amp;I analysts querying Cotton Valley formation data must not receive unfiltered results from unrelated basins.</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RET-003</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implement hybrid retrieval: semantic similarity search (vector) combined with keyword search (BM25 or equivalent) with configurable weighting.</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Purely semantic retrieval misses exact-match geological terms (formation names, API well numbers); hybrid improves precision.</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RET-004</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return retrieval results with relevance scores and source metadata for every chunk presented to the synthesis layer.</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Transparency in retrieval scoring enables the synthesis layer to weight evidence and supports analyst review.</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RET-005</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Query-to-retrieval latency SHALL be under 2 seconds at p95 for standard geological reference queries against a corpus of up to 10,000 chunks.</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R&amp;I workflow requires responsive interaction; latency above 5 seconds materially degrades analyst adoption.</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RET-006</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SHOULD implement re-ranking of retrieved chunks using a cross-encoder model before passing to synthesis.</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Initial vector retrieval optimizes recall; re-ranking optimizes precision, reducing hallucination risk in synthesis.</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B07D00"/>
                <w:sz w:val="19"/>
                <w:szCs w:val="19"/>
              </w:rPr>
              <w:t xml:space="preserve">SHOULD</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RET-007</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SHOULD cache retrieval results for identical queries within a configurable TTL (default: 24 hours).</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Repeated queries on standard formation benchmarks are common in R&amp;I; caching reduces latency and API cost.</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B07D00"/>
                <w:sz w:val="19"/>
                <w:szCs w:val="19"/>
              </w:rPr>
              <w:t xml:space="preserve">SHOULD</w:t>
            </w:r>
          </w:p>
        </w:tc>
      </w:tr>
    </w:tbl>
    <w:p>
      <w:r>
        <w:t xml:space="preserve"/>
      </w:r>
    </w:p>
    <w:p>
      <w:pPr>
        <w:pStyle w:val="Heading2"/>
        <w:spacing w:after="100" w:before="300"/>
      </w:pPr>
      <w:r>
        <w:rPr>
          <w:rFonts w:ascii="Arial" w:cs="Arial" w:eastAsia="Arial" w:hAnsi="Arial"/>
          <w:b/>
          <w:bCs/>
          <w:color w:val="2E6DA4"/>
          <w:sz w:val="26"/>
          <w:szCs w:val="26"/>
        </w:rPr>
        <w:t xml:space="preserve">4.4  Synthesis &amp;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500"/>
        <w:gridCol w:w="1000"/>
      </w:tblGrid>
      <w:tr>
        <w:tc>
          <w:tcPr>
            <w:tcW w:type="dxa" w:w="9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REQ ID</w:t>
            </w:r>
          </w:p>
        </w:tc>
        <w:tc>
          <w:tcPr>
            <w:tcW w:type="dxa" w:w="34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Requirement</w:t>
            </w:r>
          </w:p>
        </w:tc>
        <w:tc>
          <w:tcPr>
            <w:tcW w:type="dxa" w:w="35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Rationale</w:t>
            </w:r>
          </w:p>
        </w:tc>
        <w:tc>
          <w:tcPr>
            <w:tcW w:type="dxa" w:w="10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Priority</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SYN-001</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generate synthesis responses grounded exclusively in retrieved corpus chunks; the synthesis layer SHALL NOT draw on model parametric knowledge for factual geological claims.</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Prevents hallucinated geological data from entering R&amp;I outputs. All claims must be traceable to corpus sources.</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SYN-002</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Every synthesis response SHALL include inline citations referencing the specific corpus chunk(s) supporting each factual claim, in the format [Source Name, Section, Date].</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Enables analyst verification and satisfies TCA auditability requirements for advisory outputs.</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SYN-003</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support a Comparative Analysis mode: analyst provides operator-claimed parameter value(s); system retrieves authoritative benchmarks and returns a structured variance table.</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Core R&amp;I workflow: identifying material variances between operator claims and authoritative data is the primary evaluation use case.</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SYN-004</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In Comparative Analysis mode, variance flags SHALL be classified as: Within Range, Moderately Elevated (&gt;15% deviation), or Materially Elevated (&gt;30% deviation) relative to authoritative benchmarks.</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Standardized variance classification enables consistent R&amp;I reporting and feeds into the Risk Engine scoring framework.</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SYN-005</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synthesis layer SHALL include a confidence indicator for each response: High (Tier 1 sources, multiple corroborating chunks), Medium (Tier 2 sources or limited corroboration), Low (Tier 3 only or single chunk).</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Analysts must understand evidentiary strength before relying on reference outputs for investment conclusions.</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SYN-006</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support document upload by the analyst: an operator-submitted PDF or data file is parsed and its key claims extracted for comparison against the corpus.</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Enables the primary R&amp;I workflow of evaluating operator submissions against authoritative reference material.</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SYN-007</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SHOULD support structured output format for Comparative Analysis results: JSON-serializable variance table for downstream consumption by the Risk Engine API.</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Enables future Risk Engine integration without requiring manual data re-entry from R&amp;I outputs.</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B07D00"/>
                <w:sz w:val="19"/>
                <w:szCs w:val="19"/>
              </w:rPr>
              <w:t xml:space="preserve">SHOULD</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SYN-008</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NOT generate forward-looking projections or investment recommendations; synthesis outputs are reference and comparison only.</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TCA's advisory function requires clear separation between reference intelligence and investment analysis.</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bl>
    <w:p>
      <w:r>
        <w:t xml:space="preserve"/>
      </w:r>
    </w:p>
    <w:p>
      <w:r>
        <w:br/>
      </w:r>
    </w:p>
    <w:p>
      <w:pPr>
        <w:pStyle w:val="Heading2"/>
        <w:spacing w:after="100" w:before="300"/>
      </w:pPr>
      <w:r>
        <w:rPr>
          <w:rFonts w:ascii="Arial" w:cs="Arial" w:eastAsia="Arial" w:hAnsi="Arial"/>
          <w:b/>
          <w:bCs/>
          <w:color w:val="2E6DA4"/>
          <w:sz w:val="26"/>
          <w:szCs w:val="26"/>
        </w:rPr>
        <w:t xml:space="preserve">4.5  User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500"/>
        <w:gridCol w:w="1000"/>
      </w:tblGrid>
      <w:tr>
        <w:tc>
          <w:tcPr>
            <w:tcW w:type="dxa" w:w="9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REQ ID</w:t>
            </w:r>
          </w:p>
        </w:tc>
        <w:tc>
          <w:tcPr>
            <w:tcW w:type="dxa" w:w="34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Requirement</w:t>
            </w:r>
          </w:p>
        </w:tc>
        <w:tc>
          <w:tcPr>
            <w:tcW w:type="dxa" w:w="35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Rationale</w:t>
            </w:r>
          </w:p>
        </w:tc>
        <w:tc>
          <w:tcPr>
            <w:tcW w:type="dxa" w:w="10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Priority</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UI-001</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provide a web-based interface accessible via standard browsers (Chrome, Firefox, Safari, Edge) without requiring local software installation.</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Supports access by Ella (TCA-focused) and Ganlin (TCN/TCM-focused) across their respective work contexts.</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UI-002</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interface SHALL provide a Query Workspace: free-text query input, optional metadata filters, and structured retrieval + synthesis output display.</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Primary R&amp;I interaction mode for geological reference queries.</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UI-003</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interface SHALL provide a Document Comparison Workspace: operator document upload, automated claim extraction preview, and side-by-side variance output.</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Primary R&amp;I interaction mode for operator submission evaluation.</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UI-004</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interface SHALL provide a Corpus Management Console (admin-only): document ingestion, metadata editing, corpus version log view, source tier management.</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Enables Stan and designated admins to manage corpus health without direct database access.</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UI-005</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Every synthesis output displayed in the interface SHALL include expandable source citations: clicking a citation reveals the original chunk text and a link or reference to the source document.</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Drill-down auditability is a TCA advisory function requirement, not a UX enhancement.</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UI-006</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interface SHALL support export of synthesis and comparison outputs as PDF and structured text (.txt or .md) for inclusion in R&amp;I reports.</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R&amp;I analysts incorporate reference outputs into the Risk Report workflow; export must be format-compatible.</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UI-007</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interface SHOULD display a corpus health dashboard: total documents by tier and domain, last update date per source, and flagged stale sources (not updated within configured SLA).</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Enables MRB and Stan to monitor corpus quality without running database queries.</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B07D00"/>
                <w:sz w:val="19"/>
                <w:szCs w:val="19"/>
              </w:rPr>
              <w:t xml:space="preserve">SHOULD</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UI-008</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interface SHOULD support session history: analysts can review and re-open prior queries and comparison results within their session.</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Supports multi-step research workflows where analysts revisit and refine prior reference queries.</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B07D00"/>
                <w:sz w:val="19"/>
                <w:szCs w:val="19"/>
              </w:rPr>
              <w:t xml:space="preserve">SHOULD</w:t>
            </w:r>
          </w:p>
        </w:tc>
      </w:tr>
    </w:tbl>
    <w:p>
      <w:r>
        <w:t xml:space="preserve"/>
      </w:r>
    </w:p>
    <w:p>
      <w:pPr>
        <w:pStyle w:val="Heading2"/>
        <w:spacing w:after="100" w:before="300"/>
      </w:pPr>
      <w:r>
        <w:rPr>
          <w:rFonts w:ascii="Arial" w:cs="Arial" w:eastAsia="Arial" w:hAnsi="Arial"/>
          <w:b/>
          <w:bCs/>
          <w:color w:val="2E6DA4"/>
          <w:sz w:val="26"/>
          <w:szCs w:val="26"/>
        </w:rPr>
        <w:t xml:space="preserve">4.6  Integration &amp;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500"/>
        <w:gridCol w:w="1000"/>
      </w:tblGrid>
      <w:tr>
        <w:tc>
          <w:tcPr>
            <w:tcW w:type="dxa" w:w="9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REQ ID</w:t>
            </w:r>
          </w:p>
        </w:tc>
        <w:tc>
          <w:tcPr>
            <w:tcW w:type="dxa" w:w="34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Requirement</w:t>
            </w:r>
          </w:p>
        </w:tc>
        <w:tc>
          <w:tcPr>
            <w:tcW w:type="dxa" w:w="35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Rationale</w:t>
            </w:r>
          </w:p>
        </w:tc>
        <w:tc>
          <w:tcPr>
            <w:tcW w:type="dxa" w:w="10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Priority</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INT-001</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expose a documented REST API for programmatic query submission and result retrieval, authenticated via API key.</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Enables future Risk Engine integration and downstream consumption by TCA analytical products.</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INT-002</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REST API SHALL support a /query endpoint (POST): accepts query text and optional filters; returns synthesis response and source citations in JSON.</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Core integration surface for Risk Engine and other 2678 ecosystem components.</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INT-003</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REST API SHALL support a /compare endpoint (POST): accepts operator parameter set and target formation/basin; returns structured variance table in JSON.</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Enables Risk Engine to pass project parameters directly to the Reference Engine for automated benchmark comparison.</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INT-004</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REST API SHALL support a /corpus/status endpoint (GET): returns corpus health summary (document count, last update, tier breakdown) for monitoring integrations.</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Supports Stan's cross-entity oversight and future operations dashboard integration.</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INT-005</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All API responses SHALL include a request_id, timestamp, model_version, and corpus_snapshot_id for full traceability of every programmatic interaction.</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Audit trail requirement for TCA's advisory function; every reference output must be reproducible and attributable.</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INT-006</w:t>
            </w:r>
          </w:p>
        </w:tc>
        <w:tc>
          <w:tcPr>
            <w:tcW w:type="dxa" w:w="3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SHOULD support webhook notifications for corpus update events (document added, retired, or flagged stale) to configured downstream consumers.</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Enables Risk Engine and other consumers to invalidate cached reference results when corpus changes.</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B07D00"/>
                <w:sz w:val="19"/>
                <w:szCs w:val="19"/>
              </w:rPr>
              <w:t xml:space="preserve">SHOULD</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INT-007</w:t>
            </w:r>
          </w:p>
        </w:tc>
        <w:tc>
          <w:tcPr>
            <w:tcW w:type="dxa" w:w="3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system SHALL document an Interface Contract specifying all API endpoint schemas, authentication requirements, rate limits, and versioning policy before Phase 3 build begins.</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Prevents integration failures caused by undocumented API changes; mirrors Snowflake proposal lesson.</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bl>
    <w:p>
      <w:r>
        <w:br/>
      </w:r>
    </w:p>
    <w:p>
      <w:pPr>
        <w:pStyle w:val="Heading1"/>
        <w:spacing w:after="140" w:before="400"/>
      </w:pPr>
      <w:r>
        <w:rPr>
          <w:rFonts w:ascii="Arial" w:cs="Arial" w:eastAsia="Arial" w:hAnsi="Arial"/>
          <w:b/>
          <w:bCs/>
          <w:color w:val="1B3A6B"/>
          <w:sz w:val="34"/>
          <w:szCs w:val="34"/>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660"/>
        <w:gridCol w:w="1000"/>
      </w:tblGrid>
      <w:tr>
        <w:tc>
          <w:tcPr>
            <w:tcW w:type="dxa" w:w="9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NFR ID</w:t>
            </w:r>
          </w:p>
        </w:tc>
        <w:tc>
          <w:tcPr>
            <w:tcW w:type="dxa" w:w="14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Category</w:t>
            </w:r>
          </w:p>
        </w:tc>
        <w:tc>
          <w:tcPr>
            <w:tcW w:type="dxa" w:w="566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Requirement</w:t>
            </w:r>
          </w:p>
        </w:tc>
        <w:tc>
          <w:tcPr>
            <w:tcW w:type="dxa" w:w="10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Priority</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NFR-001</w:t>
            </w:r>
          </w:p>
        </w:tc>
        <w:tc>
          <w:tcPr>
            <w:tcW w:type="dxa" w:w="1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Performance</w:t>
            </w:r>
          </w:p>
        </w:tc>
        <w:tc>
          <w:tcPr>
            <w:tcW w:type="dxa" w:w="56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Query-to-full-response latency SHALL be under 5 seconds at p95 for standard queries on a corpus of up to 50,000 chunks.</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NFR-002</w:t>
            </w:r>
          </w:p>
        </w:tc>
        <w:tc>
          <w:tcPr>
            <w:tcW w:type="dxa" w:w="1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Performance</w:t>
            </w:r>
          </w:p>
        </w:tc>
        <w:tc>
          <w:tcPr>
            <w:tcW w:type="dxa" w:w="56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Corpus ingestion pipeline SHALL process a standard 50-page geological PDF in under 3 minutes end-to-end (download, parse, chunk, embed, index).</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2E6DA4"/>
                <w:sz w:val="19"/>
                <w:szCs w:val="19"/>
              </w:rPr>
              <w:t xml:space="preserve">SHOULD</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NFR-003</w:t>
            </w:r>
          </w:p>
        </w:tc>
        <w:tc>
          <w:tcPr>
            <w:tcW w:type="dxa" w:w="1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Availability</w:t>
            </w:r>
          </w:p>
        </w:tc>
        <w:tc>
          <w:tcPr>
            <w:tcW w:type="dxa" w:w="56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System SHALL target 99.5% uptime during business hours (8am–8pm Central, Monday–Friday). Planned maintenance windows are permitted off-hours with 24-hour advance notice.</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NFR-004</w:t>
            </w:r>
          </w:p>
        </w:tc>
        <w:tc>
          <w:tcPr>
            <w:tcW w:type="dxa" w:w="1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Scalability</w:t>
            </w:r>
          </w:p>
        </w:tc>
        <w:tc>
          <w:tcPr>
            <w:tcW w:type="dxa" w:w="56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Architecture SHALL support corpus growth to 100,000 chunks and 10 concurrent users without architectural redesign. Horizontal scaling SHALL be achievable by adding compute nodes.</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NFR-005</w:t>
            </w:r>
          </w:p>
        </w:tc>
        <w:tc>
          <w:tcPr>
            <w:tcW w:type="dxa" w:w="1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Security</w:t>
            </w:r>
          </w:p>
        </w:tc>
        <w:tc>
          <w:tcPr>
            <w:tcW w:type="dxa" w:w="56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All data in transit SHALL be encrypted (TLS 1.2 minimum). All data at rest SHALL be encrypted (AES-256 minimum).</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NFR-006</w:t>
            </w:r>
          </w:p>
        </w:tc>
        <w:tc>
          <w:tcPr>
            <w:tcW w:type="dxa" w:w="1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Security</w:t>
            </w:r>
          </w:p>
        </w:tc>
        <w:tc>
          <w:tcPr>
            <w:tcW w:type="dxa" w:w="56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API authentication SHALL use rotating API keys with configurable expiration. Key issuance and revocation SHALL be logged.</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NFR-007</w:t>
            </w:r>
          </w:p>
        </w:tc>
        <w:tc>
          <w:tcPr>
            <w:tcW w:type="dxa" w:w="1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Security</w:t>
            </w:r>
          </w:p>
        </w:tc>
        <w:tc>
          <w:tcPr>
            <w:tcW w:type="dxa" w:w="56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Corpus documents containing proprietary or sensitive data SHALL be stored in access-controlled storage with role-based read permissions.</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NFR-008</w:t>
            </w:r>
          </w:p>
        </w:tc>
        <w:tc>
          <w:tcPr>
            <w:tcW w:type="dxa" w:w="1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Auditability</w:t>
            </w:r>
          </w:p>
        </w:tc>
        <w:tc>
          <w:tcPr>
            <w:tcW w:type="dxa" w:w="56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All system interactions (queries, comparisons, corpus updates, API calls) SHALL be logged with: user/system identity, timestamp, inputs, outputs, and corpus snapshot ID.</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NFR-009</w:t>
            </w:r>
          </w:p>
        </w:tc>
        <w:tc>
          <w:tcPr>
            <w:tcW w:type="dxa" w:w="1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Auditability</w:t>
            </w:r>
          </w:p>
        </w:tc>
        <w:tc>
          <w:tcPr>
            <w:tcW w:type="dxa" w:w="56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Audit logs SHALL be retained for a minimum of 7 years, consistent with TCA's RIA regulatory retention requirements.</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NFR-010</w:t>
            </w:r>
          </w:p>
        </w:tc>
        <w:tc>
          <w:tcPr>
            <w:tcW w:type="dxa" w:w="1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Maintainability</w:t>
            </w:r>
          </w:p>
        </w:tc>
        <w:tc>
          <w:tcPr>
            <w:tcW w:type="dxa" w:w="56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The embedding model, vector database, and synthesis model SHALL each be replaceable without requiring redesign of the other components (modular architecture).</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NFR-011</w:t>
            </w:r>
          </w:p>
        </w:tc>
        <w:tc>
          <w:tcPr>
            <w:tcW w:type="dxa" w:w="1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Maintainability</w:t>
            </w:r>
          </w:p>
        </w:tc>
        <w:tc>
          <w:tcPr>
            <w:tcW w:type="dxa" w:w="56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All infrastructure SHALL be defined as code (Terraform or equivalent) and version-controlled. No manual infrastructure provisioning in production.</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2E6DA4"/>
                <w:sz w:val="19"/>
                <w:szCs w:val="19"/>
              </w:rPr>
              <w:t xml:space="preserve">SHOULD</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NFR-012</w:t>
            </w:r>
          </w:p>
        </w:tc>
        <w:tc>
          <w:tcPr>
            <w:tcW w:type="dxa" w:w="1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Observability</w:t>
            </w:r>
          </w:p>
        </w:tc>
        <w:tc>
          <w:tcPr>
            <w:tcW w:type="dxa" w:w="56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System SHALL emit structured logs and metrics to a monitoring platform. Alerts SHALL be configured for: p95 latency breach, error rate &gt;1%, corpus staleness SLA breach, and storage utilization &gt;80%.</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C8382D"/>
                <w:sz w:val="19"/>
                <w:szCs w:val="19"/>
              </w:rPr>
              <w:t xml:space="preserve">MUST</w:t>
            </w:r>
          </w:p>
        </w:tc>
      </w:tr>
      <w:tr>
        <w:tc>
          <w:tcPr>
            <w:tcW w:type="dxa" w:w="9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NFR-013</w:t>
            </w:r>
          </w:p>
        </w:tc>
        <w:tc>
          <w:tcPr>
            <w:tcW w:type="dxa" w:w="1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Portability</w:t>
            </w:r>
          </w:p>
        </w:tc>
        <w:tc>
          <w:tcPr>
            <w:tcW w:type="dxa" w:w="56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System SHALL not be architecturally dependent on a single cloud provider. Core components (vector DB, storage, compute) SHALL be deployable on AWS, GCP, or Azure with documented migration procedures.</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color w:val="2E6DA4"/>
                <w:sz w:val="19"/>
                <w:szCs w:val="19"/>
              </w:rPr>
              <w:t xml:space="preserve">SHOULD</w:t>
            </w:r>
          </w:p>
        </w:tc>
      </w:tr>
      <w:tr>
        <w:tc>
          <w:tcPr>
            <w:tcW w:type="dxa" w:w="9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NFR-014</w:t>
            </w:r>
          </w:p>
        </w:tc>
        <w:tc>
          <w:tcPr>
            <w:tcW w:type="dxa" w:w="1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Cost</w:t>
            </w:r>
          </w:p>
        </w:tc>
        <w:tc>
          <w:tcPr>
            <w:tcW w:type="dxa" w:w="56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Infrastructure design SHALL optimize for cost at TCA's expected query volume (&lt;500 queries/month in Year 1). Reserved capacity or serverless patterns SHALL be preferred over always-on large instances.</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color w:val="2E6DA4"/>
                <w:sz w:val="19"/>
                <w:szCs w:val="19"/>
              </w:rPr>
              <w:t xml:space="preserve">SHOULD</w:t>
            </w:r>
          </w:p>
        </w:tc>
      </w:tr>
    </w:tbl>
    <w:p>
      <w:r>
        <w:br/>
      </w:r>
    </w:p>
    <w:p>
      <w:pPr>
        <w:pStyle w:val="Heading1"/>
        <w:spacing w:after="140" w:before="400"/>
      </w:pPr>
      <w:r>
        <w:rPr>
          <w:rFonts w:ascii="Arial" w:cs="Arial" w:eastAsia="Arial" w:hAnsi="Arial"/>
          <w:b/>
          <w:bCs/>
          <w:color w:val="1B3A6B"/>
          <w:sz w:val="34"/>
          <w:szCs w:val="34"/>
        </w:rPr>
        <w:t xml:space="preserve">6. Architecture Decision Records (ADRs)</w:t>
      </w:r>
    </w:p>
    <w:p>
      <w:pPr>
        <w:spacing w:after="80" w:before="80"/>
      </w:pPr>
      <w:r>
        <w:rPr>
          <w:rFonts w:ascii="Arial" w:cs="Arial" w:eastAsia="Arial" w:hAnsi="Arial"/>
          <w:b w:val="false"/>
          <w:bCs w:val="false"/>
          <w:i w:val="false"/>
          <w:iCs w:val="false"/>
          <w:color w:val="1A1A1A"/>
          <w:sz w:val="20"/>
          <w:szCs w:val="20"/>
        </w:rPr>
        <w:t xml:space="preserve">Each ADR documents a significant architectural choice, its status, the decision made, the rationale, and the alternatives considered. ADRs are living documents — status updates and reversals must be logged with date and approver.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ADR-001</w:t>
            </w:r>
          </w:p>
        </w:tc>
        <w:tc>
          <w:tcPr>
            <w:tcW w:type="dxa" w:w="1800"/>
            <w:tcBorders>
              <w:top w:val="single" w:color="C8D6E5" w:sz="1"/>
              <w:left w:val="single" w:color="C8D6E5" w:sz="1"/>
              <w:bottom w:val="single" w:color="C8D6E5" w:sz="1"/>
              <w:right w:val="single" w:color="C8D6E5" w:sz="1"/>
            </w:tcBorders>
            <w:shd w:fill="8B6914"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STATUS: OPEN</w:t>
            </w:r>
          </w:p>
        </w:tc>
        <w:tc>
          <w:tcPr>
            <w:tcW w:type="dxa" w:w="636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Selected</w:t>
            </w:r>
          </w:p>
        </w:tc>
      </w:tr>
      <w:tr>
        <w:tc>
          <w:tcPr>
            <w:tcW w:type="dxa" w:w="1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Decision</w:t>
            </w:r>
          </w:p>
        </w:tc>
        <rootKey>w:tc</rootKey>
      </w:tr>
      <w:tr>
        <w:tc>
          <w:tcPr>
            <w:tcW w:type="dxa" w:w="12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Rationale</w:t>
            </w:r>
          </w:p>
        </w:tc>
        <rootKey>w:tc</rootKey>
      </w:tr>
      <w:tr>
        <w:tc>
          <w:tcPr>
            <w:tcW w:type="dxa" w:w="1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Alternatives</w:t>
            </w:r>
          </w:p>
        </w:tc>
        <rootKey>w:tc</rootKey>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ADR-002</w:t>
            </w:r>
          </w:p>
        </w:tc>
        <w:tc>
          <w:tcPr>
            <w:tcW w:type="dxa" w:w="1800"/>
            <w:tcBorders>
              <w:top w:val="single" w:color="C8D6E5" w:sz="1"/>
              <w:left w:val="single" w:color="C8D6E5" w:sz="1"/>
              <w:bottom w:val="single" w:color="C8D6E5" w:sz="1"/>
              <w:right w:val="single" w:color="C8D6E5" w:sz="1"/>
            </w:tcBorders>
            <w:shd w:fill="8B6914"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STATUS: OPEN</w:t>
            </w:r>
          </w:p>
        </w:tc>
        <w:tc>
          <w:tcPr>
            <w:tcW w:type="dxa" w:w="636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Under Evaluation</w:t>
            </w:r>
          </w:p>
        </w:tc>
      </w:tr>
      <w:tr>
        <w:tc>
          <w:tcPr>
            <w:tcW w:type="dxa" w:w="1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Decision</w:t>
            </w:r>
          </w:p>
        </w:tc>
        <rootKey>w:tc</rootKey>
      </w:tr>
      <w:tr>
        <w:tc>
          <w:tcPr>
            <w:tcW w:type="dxa" w:w="12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Rationale</w:t>
            </w:r>
          </w:p>
        </w:tc>
        <rootKey>w:tc</rootKey>
      </w:tr>
      <w:tr>
        <w:tc>
          <w:tcPr>
            <w:tcW w:type="dxa" w:w="1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Alternatives</w:t>
            </w:r>
          </w:p>
        </w:tc>
        <rootKey>w:tc</rootKey>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ADR-003</w:t>
            </w:r>
          </w:p>
        </w:tc>
        <w:tc>
          <w:tcPr>
            <w:tcW w:type="dxa" w:w="1800"/>
            <w:tcBorders>
              <w:top w:val="single" w:color="C8D6E5" w:sz="1"/>
              <w:left w:val="single" w:color="C8D6E5" w:sz="1"/>
              <w:bottom w:val="single" w:color="C8D6E5" w:sz="1"/>
              <w:right w:val="single" w:color="C8D6E5" w:sz="1"/>
            </w:tcBorders>
            <w:shd w:fill="8B6914"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STATUS: OPEN</w:t>
            </w:r>
          </w:p>
        </w:tc>
        <w:tc>
          <w:tcPr>
            <w:tcW w:type="dxa" w:w="636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Under Evaluation</w:t>
            </w:r>
          </w:p>
        </w:tc>
      </w:tr>
      <w:tr>
        <w:tc>
          <w:tcPr>
            <w:tcW w:type="dxa" w:w="1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Decision</w:t>
            </w:r>
          </w:p>
        </w:tc>
        <rootKey>w:tc</rootKey>
      </w:tr>
      <w:tr>
        <w:tc>
          <w:tcPr>
            <w:tcW w:type="dxa" w:w="12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Rationale</w:t>
            </w:r>
          </w:p>
        </w:tc>
        <rootKey>w:tc</rootKey>
      </w:tr>
      <w:tr>
        <w:tc>
          <w:tcPr>
            <w:tcW w:type="dxa" w:w="1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Alternatives</w:t>
            </w:r>
          </w:p>
        </w:tc>
        <rootKey>w:tc</rootKey>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ADR-004</w:t>
            </w:r>
          </w:p>
        </w:tc>
        <w:tc>
          <w:tcPr>
            <w:tcW w:type="dxa" w:w="1800"/>
            <w:tcBorders>
              <w:top w:val="single" w:color="C8D6E5" w:sz="1"/>
              <w:left w:val="single" w:color="C8D6E5" w:sz="1"/>
              <w:bottom w:val="single" w:color="C8D6E5" w:sz="1"/>
              <w:right w:val="single" w:color="C8D6E5" w:sz="1"/>
            </w:tcBorders>
            <w:shd w:fill="8B6914"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STATUS: OPEN</w:t>
            </w:r>
          </w:p>
        </w:tc>
        <w:tc>
          <w:tcPr>
            <w:tcW w:type="dxa" w:w="636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Selected</w:t>
            </w:r>
          </w:p>
        </w:tc>
      </w:tr>
      <w:tr>
        <w:tc>
          <w:tcPr>
            <w:tcW w:type="dxa" w:w="1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Decision</w:t>
            </w:r>
          </w:p>
        </w:tc>
        <rootKey>w:tc</rootKey>
      </w:tr>
      <w:tr>
        <w:tc>
          <w:tcPr>
            <w:tcW w:type="dxa" w:w="12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Rationale</w:t>
            </w:r>
          </w:p>
        </w:tc>
        <rootKey>w:tc</rootKey>
      </w:tr>
      <w:tr>
        <w:tc>
          <w:tcPr>
            <w:tcW w:type="dxa" w:w="1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Alternatives</w:t>
            </w:r>
          </w:p>
        </w:tc>
        <rootKey>w:tc</rootKey>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ADR-005</w:t>
            </w:r>
          </w:p>
        </w:tc>
        <w:tc>
          <w:tcPr>
            <w:tcW w:type="dxa" w:w="1800"/>
            <w:tcBorders>
              <w:top w:val="single" w:color="C8D6E5" w:sz="1"/>
              <w:left w:val="single" w:color="C8D6E5" w:sz="1"/>
              <w:bottom w:val="single" w:color="C8D6E5" w:sz="1"/>
              <w:right w:val="single" w:color="C8D6E5" w:sz="1"/>
            </w:tcBorders>
            <w:shd w:fill="8B6914"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STATUS: OPEN</w:t>
            </w:r>
          </w:p>
        </w:tc>
        <w:tc>
          <w:tcPr>
            <w:tcW w:type="dxa" w:w="636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Under Evaluation</w:t>
            </w:r>
          </w:p>
        </w:tc>
      </w:tr>
      <w:tr>
        <w:tc>
          <w:tcPr>
            <w:tcW w:type="dxa" w:w="1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Decision</w:t>
            </w:r>
          </w:p>
        </w:tc>
        <rootKey>w:tc</rootKey>
      </w:tr>
      <w:tr>
        <w:tc>
          <w:tcPr>
            <w:tcW w:type="dxa" w:w="12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Rationale</w:t>
            </w:r>
          </w:p>
        </w:tc>
        <rootKey>w:tc</rootKey>
      </w:tr>
      <w:tr>
        <w:tc>
          <w:tcPr>
            <w:tcW w:type="dxa" w:w="1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Alternatives</w:t>
            </w:r>
          </w:p>
        </w:tc>
        <rootKey>w:tc</rootKey>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ADR-006</w:t>
            </w:r>
          </w:p>
        </w:tc>
        <w:tc>
          <w:tcPr>
            <w:tcW w:type="dxa" w:w="1800"/>
            <w:tcBorders>
              <w:top w:val="single" w:color="C8D6E5" w:sz="1"/>
              <w:left w:val="single" w:color="C8D6E5" w:sz="1"/>
              <w:bottom w:val="single" w:color="C8D6E5" w:sz="1"/>
              <w:right w:val="single" w:color="C8D6E5" w:sz="1"/>
            </w:tcBorders>
            <w:shd w:fill="8B6914"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STATUS: OPEN</w:t>
            </w:r>
          </w:p>
        </w:tc>
        <w:tc>
          <w:tcPr>
            <w:tcW w:type="dxa" w:w="636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Selected</w:t>
            </w:r>
          </w:p>
        </w:tc>
      </w:tr>
      <w:tr>
        <w:tc>
          <w:tcPr>
            <w:tcW w:type="dxa" w:w="1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Decision</w:t>
            </w:r>
          </w:p>
        </w:tc>
        <rootKey>w:tc</rootKey>
      </w:tr>
      <w:tr>
        <w:tc>
          <w:tcPr>
            <w:tcW w:type="dxa" w:w="12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Rationale</w:t>
            </w:r>
          </w:p>
        </w:tc>
        <rootKey>w:tc</rootKey>
      </w:tr>
      <w:tr>
        <w:tc>
          <w:tcPr>
            <w:tcW w:type="dxa" w:w="1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Alternatives</w:t>
            </w:r>
          </w:p>
        </w:tc>
        <rootKey>w:tc</rootKey>
      </w:tr>
    </w:tbl>
    <w:p>
      <w:r>
        <w:t xml:space="preserve"/>
      </w:r>
    </w:p>
    <w:p>
      <w:r>
        <w:br/>
      </w:r>
    </w:p>
    <w:p>
      <w:pPr>
        <w:pStyle w:val="Heading1"/>
        <w:spacing w:after="140" w:before="400"/>
      </w:pPr>
      <w:r>
        <w:rPr>
          <w:rFonts w:ascii="Arial" w:cs="Arial" w:eastAsia="Arial" w:hAnsi="Arial"/>
          <w:b/>
          <w:bCs/>
          <w:color w:val="1B3A6B"/>
          <w:sz w:val="34"/>
          <w:szCs w:val="34"/>
        </w:rPr>
        <w:t xml:space="preserve">7. Data Model</w:t>
      </w:r>
    </w:p>
    <w:p>
      <w:pPr>
        <w:spacing w:after="80" w:before="80"/>
      </w:pPr>
      <w:r>
        <w:rPr>
          <w:rFonts w:ascii="Arial" w:cs="Arial" w:eastAsia="Arial" w:hAnsi="Arial"/>
          <w:b w:val="false"/>
          <w:bCs w:val="false"/>
          <w:i w:val="false"/>
          <w:iCs w:val="false"/>
          <w:color w:val="1A1A1A"/>
          <w:sz w:val="20"/>
          <w:szCs w:val="20"/>
        </w:rPr>
        <w:t xml:space="preserve">The following entity definitions specify the required fields for each core data object. Physical implementation (table schema, index design) is determined during Phase 1 architecture review, subject to the selected vector database and hosting platform.</w:t>
      </w:r>
    </w:p>
    <w:p>
      <w:r>
        <w:t xml:space="preserve"/>
      </w:r>
    </w:p>
    <w:p>
      <w:pPr>
        <w:pStyle w:val="Heading2"/>
        <w:spacing w:after="100" w:before="300"/>
      </w:pPr>
      <w:r>
        <w:rPr>
          <w:rFonts w:ascii="Arial" w:cs="Arial" w:eastAsia="Arial" w:hAnsi="Arial"/>
          <w:b/>
          <w:bCs/>
          <w:color w:val="2E6DA4"/>
          <w:sz w:val="26"/>
          <w:szCs w:val="26"/>
        </w:rPr>
        <w:t xml:space="preserve">7.1  corpus_documents</w:t>
      </w:r>
    </w:p>
    <w:p>
      <w:pPr>
        <w:spacing w:after="80" w:before="80"/>
      </w:pPr>
      <w:r>
        <w:rPr>
          <w:rFonts w:ascii="Arial" w:cs="Arial" w:eastAsia="Arial" w:hAnsi="Arial"/>
          <w:b w:val="false"/>
          <w:bCs w:val="false"/>
          <w:i w:val="false"/>
          <w:iCs w:val="false"/>
          <w:color w:val="1A1A1A"/>
          <w:sz w:val="20"/>
          <w:szCs w:val="20"/>
        </w:rPr>
        <w:t xml:space="preserve">Stores metadata for every document ingested into the corpus. One record per document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4500"/>
        <w:gridCol w:w="1000"/>
      </w:tblGrid>
      <w:tr>
        <w:tc>
          <w:tcPr>
            <w:tcW w:type="dxa" w:w="21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Field Name</w:t>
            </w:r>
          </w:p>
        </w:tc>
        <w:tc>
          <w:tcPr>
            <w:tcW w:type="dxa" w:w="16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Data Type</w:t>
            </w:r>
          </w:p>
        </w:tc>
        <w:tc>
          <w:tcPr>
            <w:tcW w:type="dxa" w:w="45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Description</w:t>
            </w:r>
          </w:p>
        </w:tc>
        <w:tc>
          <w:tcPr>
            <w:tcW w:type="dxa" w:w="10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Required</w:t>
            </w:r>
          </w:p>
        </w:tc>
      </w:tr>
      <w:tr>
        <w:tc>
          <w:tcPr>
            <w:tcW w:type="dxa" w:w="21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document_id</w:t>
            </w:r>
          </w:p>
        </w:tc>
        <w:tc>
          <w:tcPr>
            <w:tcW w:type="dxa" w:w="16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UUID</w:t>
            </w:r>
          </w:p>
        </w:tc>
        <w:tc>
          <w:tcPr>
            <w:tcW w:type="dxa" w:w="4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System-generated primary key</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source_name</w:t>
            </w:r>
          </w:p>
        </w:tc>
        <w:tc>
          <w:tcPr>
            <w:tcW w:type="dxa" w:w="16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VARCHAR(500)</w:t>
            </w:r>
          </w:p>
        </w:tc>
        <w:tc>
          <w:tcPr>
            <w:tcW w:type="dxa" w:w="4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Human-readable source name (e.g., 'USGS National Assessment 2023')</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source_url_or_doi</w:t>
            </w:r>
          </w:p>
        </w:tc>
        <w:tc>
          <w:tcPr>
            <w:tcW w:type="dxa" w:w="16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TEXT</w:t>
            </w:r>
          </w:p>
        </w:tc>
        <w:tc>
          <w:tcPr>
            <w:tcW w:type="dxa" w:w="4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URL or DOI for original source; NULL if proprietary</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publication_date</w:t>
            </w:r>
          </w:p>
        </w:tc>
        <w:tc>
          <w:tcPr>
            <w:tcW w:type="dxa" w:w="16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DATE</w:t>
            </w:r>
          </w:p>
        </w:tc>
        <w:tc>
          <w:tcPr>
            <w:tcW w:type="dxa" w:w="4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Original publication date; NULL if undetermined</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ingestion_date</w:t>
            </w:r>
          </w:p>
        </w:tc>
        <w:tc>
          <w:tcPr>
            <w:tcW w:type="dxa" w:w="16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TIMESTAMP</w:t>
            </w:r>
          </w:p>
        </w:tc>
        <w:tc>
          <w:tcPr>
            <w:tcW w:type="dxa" w:w="4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Date/time document was added to corpus</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reliability_tier</w:t>
            </w:r>
          </w:p>
        </w:tc>
        <w:tc>
          <w:tcPr>
            <w:tcW w:type="dxa" w:w="16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INTEGER (1/2/3)</w:t>
            </w:r>
          </w:p>
        </w:tc>
        <w:tc>
          <w:tcPr>
            <w:tcW w:type="dxa" w:w="4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Source reliability classification</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domain_category</w:t>
            </w:r>
          </w:p>
        </w:tc>
        <w:tc>
          <w:tcPr>
            <w:tcW w:type="dxa" w:w="16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VARCHAR(100)</w:t>
            </w:r>
          </w:p>
        </w:tc>
        <w:tc>
          <w:tcPr>
            <w:tcW w:type="dxa" w:w="4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Primary domain (e.g., 'Geology', 'Production', 'Regulatory')</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formation_tags</w:t>
            </w:r>
          </w:p>
        </w:tc>
        <w:tc>
          <w:tcPr>
            <w:tcW w:type="dxa" w:w="16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TEXT[]</w:t>
            </w:r>
          </w:p>
        </w:tc>
        <w:tc>
          <w:tcPr>
            <w:tcW w:type="dxa" w:w="4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Array of formation names covered (e.g., ['Cotton Valley', 'Haynesville'])</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basin_tags</w:t>
            </w:r>
          </w:p>
        </w:tc>
        <w:tc>
          <w:tcPr>
            <w:tcW w:type="dxa" w:w="16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TEXT[]</w:t>
            </w:r>
          </w:p>
        </w:tc>
        <w:tc>
          <w:tcPr>
            <w:tcW w:type="dxa" w:w="4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Array of basin names covered (e.g., ['East Texas Basin', 'Arkla Basin'])</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document_status</w:t>
            </w:r>
          </w:p>
        </w:tc>
        <w:tc>
          <w:tcPr>
            <w:tcW w:type="dxa" w:w="16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ENUM</w:t>
            </w:r>
          </w:p>
        </w:tc>
        <w:tc>
          <w:tcPr>
            <w:tcW w:type="dxa" w:w="4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Active / Retired / Flagged</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version_notes</w:t>
            </w:r>
          </w:p>
        </w:tc>
        <w:tc>
          <w:tcPr>
            <w:tcW w:type="dxa" w:w="16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TEXT</w:t>
            </w:r>
          </w:p>
        </w:tc>
        <w:tc>
          <w:tcPr>
            <w:tcW w:type="dxa" w:w="4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Reason for most recent status change</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raw_storage_path</w:t>
            </w:r>
          </w:p>
        </w:tc>
        <w:tc>
          <w:tcPr>
            <w:tcW w:type="dxa" w:w="16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TEXT</w:t>
            </w:r>
          </w:p>
        </w:tc>
        <w:tc>
          <w:tcPr>
            <w:tcW w:type="dxa" w:w="4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Storage path to original document file</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page_count</w:t>
            </w:r>
          </w:p>
        </w:tc>
        <w:tc>
          <w:tcPr>
            <w:tcW w:type="dxa" w:w="16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INTEGER</w:t>
            </w:r>
          </w:p>
        </w:tc>
        <w:tc>
          <w:tcPr>
            <w:tcW w:type="dxa" w:w="4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Total pages in source document</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SHOULD</w:t>
            </w:r>
          </w:p>
        </w:tc>
      </w:tr>
      <w:tr>
        <w:tc>
          <w:tcPr>
            <w:tcW w:type="dxa" w:w="21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language</w:t>
            </w:r>
          </w:p>
        </w:tc>
        <w:tc>
          <w:tcPr>
            <w:tcW w:type="dxa" w:w="16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VARCHAR(10)</w:t>
            </w:r>
          </w:p>
        </w:tc>
        <w:tc>
          <w:tcPr>
            <w:tcW w:type="dxa" w:w="4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Document language (default: 'en')</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SHOULD</w:t>
            </w:r>
          </w:p>
        </w:tc>
      </w:tr>
    </w:tbl>
    <w:p>
      <w:r>
        <w:t xml:space="preserve"/>
      </w:r>
    </w:p>
    <w:p>
      <w:pPr>
        <w:pStyle w:val="Heading2"/>
        <w:spacing w:after="100" w:before="300"/>
      </w:pPr>
      <w:r>
        <w:rPr>
          <w:rFonts w:ascii="Arial" w:cs="Arial" w:eastAsia="Arial" w:hAnsi="Arial"/>
          <w:b/>
          <w:bCs/>
          <w:color w:val="2E6DA4"/>
          <w:sz w:val="26"/>
          <w:szCs w:val="26"/>
        </w:rPr>
        <w:t xml:space="preserve">7.2  corpus_chunks</w:t>
      </w:r>
    </w:p>
    <w:p>
      <w:pPr>
        <w:spacing w:after="80" w:before="80"/>
      </w:pPr>
      <w:r>
        <w:rPr>
          <w:rFonts w:ascii="Arial" w:cs="Arial" w:eastAsia="Arial" w:hAnsi="Arial"/>
          <w:b w:val="false"/>
          <w:bCs w:val="false"/>
          <w:i w:val="false"/>
          <w:iCs w:val="false"/>
          <w:color w:val="1A1A1A"/>
          <w:sz w:val="20"/>
          <w:szCs w:val="20"/>
        </w:rPr>
        <w:t xml:space="preserve">Stores the text content, embedding vector, and provenance metadata for each chunk derived from a corpus document. One record per chunk.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4400"/>
        <w:gridCol w:w="1000"/>
      </w:tblGrid>
      <w:tr>
        <w:tc>
          <w:tcPr>
            <w:tcW w:type="dxa" w:w="21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Field Name</w:t>
            </w:r>
          </w:p>
        </w:tc>
        <w:tc>
          <w:tcPr>
            <w:tcW w:type="dxa" w:w="17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Data Type</w:t>
            </w:r>
          </w:p>
        </w:tc>
        <w:tc>
          <w:tcPr>
            <w:tcW w:type="dxa" w:w="44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Description</w:t>
            </w:r>
          </w:p>
        </w:tc>
        <w:tc>
          <w:tcPr>
            <w:tcW w:type="dxa" w:w="10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Required</w:t>
            </w:r>
          </w:p>
        </w:tc>
      </w:tr>
      <w:tr>
        <w:tc>
          <w:tcPr>
            <w:tcW w:type="dxa" w:w="21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chunk_id</w:t>
            </w:r>
          </w:p>
        </w:tc>
        <w:tc>
          <w:tcPr>
            <w:tcW w:type="dxa" w:w="17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UUID</w:t>
            </w:r>
          </w:p>
        </w:tc>
        <w:tc>
          <w:tcPr>
            <w:tcW w:type="dxa" w:w="4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System-generated primary key</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document_id</w:t>
            </w:r>
          </w:p>
        </w:tc>
        <w:tc>
          <w:tcPr>
            <w:tcW w:type="dxa" w:w="17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UUID (FK)</w:t>
            </w:r>
          </w:p>
        </w:tc>
        <w:tc>
          <w:tcPr>
            <w:tcW w:type="dxa" w:w="4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Reference to parent corpus_documents record</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chunk_index</w:t>
            </w:r>
          </w:p>
        </w:tc>
        <w:tc>
          <w:tcPr>
            <w:tcW w:type="dxa" w:w="17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INTEGER</w:t>
            </w:r>
          </w:p>
        </w:tc>
        <w:tc>
          <w:tcPr>
            <w:tcW w:type="dxa" w:w="4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Sequential chunk number within parent document</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chunk_text</w:t>
            </w:r>
          </w:p>
        </w:tc>
        <w:tc>
          <w:tcPr>
            <w:tcW w:type="dxa" w:w="17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TEXT</w:t>
            </w:r>
          </w:p>
        </w:tc>
        <w:tc>
          <w:tcPr>
            <w:tcW w:type="dxa" w:w="4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Raw text content of this chunk</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embedding_vector</w:t>
            </w:r>
          </w:p>
        </w:tc>
        <w:tc>
          <w:tcPr>
            <w:tcW w:type="dxa" w:w="17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VECTOR(N)</w:t>
            </w:r>
          </w:p>
        </w:tc>
        <w:tc>
          <w:tcPr>
            <w:tcW w:type="dxa" w:w="4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Dense embedding; N = embedding model dimension</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embedding_model_version</w:t>
            </w:r>
          </w:p>
        </w:tc>
        <w:tc>
          <w:tcPr>
            <w:tcW w:type="dxa" w:w="17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VARCHAR(100)</w:t>
            </w:r>
          </w:p>
        </w:tc>
        <w:tc>
          <w:tcPr>
            <w:tcW w:type="dxa" w:w="4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Model ID used to generate embedding</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section_heading</w:t>
            </w:r>
          </w:p>
        </w:tc>
        <w:tc>
          <w:tcPr>
            <w:tcW w:type="dxa" w:w="17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TEXT</w:t>
            </w:r>
          </w:p>
        </w:tc>
        <w:tc>
          <w:tcPr>
            <w:tcW w:type="dxa" w:w="4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Nearest parent section heading in source document</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SHOULD</w:t>
            </w:r>
          </w:p>
        </w:tc>
      </w:tr>
      <w:tr>
        <w:tc>
          <w:tcPr>
            <w:tcW w:type="dxa" w:w="21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page_start</w:t>
            </w:r>
          </w:p>
        </w:tc>
        <w:tc>
          <w:tcPr>
            <w:tcW w:type="dxa" w:w="17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INTEGER</w:t>
            </w:r>
          </w:p>
        </w:tc>
        <w:tc>
          <w:tcPr>
            <w:tcW w:type="dxa" w:w="4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Starting page number in source document</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SHOULD</w:t>
            </w:r>
          </w:p>
        </w:tc>
      </w:tr>
      <w:tr>
        <w:tc>
          <w:tcPr>
            <w:tcW w:type="dxa" w:w="21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page_end</w:t>
            </w:r>
          </w:p>
        </w:tc>
        <w:tc>
          <w:tcPr>
            <w:tcW w:type="dxa" w:w="17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INTEGER</w:t>
            </w:r>
          </w:p>
        </w:tc>
        <w:tc>
          <w:tcPr>
            <w:tcW w:type="dxa" w:w="4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Ending page number in source document</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SHOULD</w:t>
            </w:r>
          </w:p>
        </w:tc>
      </w:tr>
      <w:tr>
        <w:tc>
          <w:tcPr>
            <w:tcW w:type="dxa" w:w="21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chunk_type</w:t>
            </w:r>
          </w:p>
        </w:tc>
        <w:tc>
          <w:tcPr>
            <w:tcW w:type="dxa" w:w="17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ENUM</w:t>
            </w:r>
          </w:p>
        </w:tc>
        <w:tc>
          <w:tcPr>
            <w:tcW w:type="dxa" w:w="4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body / table / figure_caption / abstract / reference</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created_at</w:t>
            </w:r>
          </w:p>
        </w:tc>
        <w:tc>
          <w:tcPr>
            <w:tcW w:type="dxa" w:w="17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TIMESTAMP</w:t>
            </w:r>
          </w:p>
        </w:tc>
        <w:tc>
          <w:tcPr>
            <w:tcW w:type="dxa" w:w="4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Chunk creation timestamp</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bl>
    <w:p>
      <w:r>
        <w:t xml:space="preserve"/>
      </w:r>
    </w:p>
    <w:p>
      <w:pPr>
        <w:pStyle w:val="Heading2"/>
        <w:spacing w:after="100" w:before="300"/>
      </w:pPr>
      <w:r>
        <w:rPr>
          <w:rFonts w:ascii="Arial" w:cs="Arial" w:eastAsia="Arial" w:hAnsi="Arial"/>
          <w:b/>
          <w:bCs/>
          <w:color w:val="2E6DA4"/>
          <w:sz w:val="26"/>
          <w:szCs w:val="26"/>
        </w:rPr>
        <w:t xml:space="preserve">7.3  interaction_log</w:t>
      </w:r>
    </w:p>
    <w:p>
      <w:pPr>
        <w:spacing w:after="80" w:before="80"/>
      </w:pPr>
      <w:r>
        <w:rPr>
          <w:rFonts w:ascii="Arial" w:cs="Arial" w:eastAsia="Arial" w:hAnsi="Arial"/>
          <w:b w:val="false"/>
          <w:bCs w:val="false"/>
          <w:i w:val="false"/>
          <w:iCs w:val="false"/>
          <w:color w:val="1A1A1A"/>
          <w:sz w:val="20"/>
          <w:szCs w:val="20"/>
        </w:rPr>
        <w:t xml:space="preserve">Immutable audit log of every system interaction. Records are written once and never updated. Satisfies NFR-008 and NFR-009.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4400"/>
        <w:gridCol w:w="1000"/>
      </w:tblGrid>
      <w:tr>
        <w:tc>
          <w:tcPr>
            <w:tcW w:type="dxa" w:w="21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Field Name</w:t>
            </w:r>
          </w:p>
        </w:tc>
        <w:tc>
          <w:tcPr>
            <w:tcW w:type="dxa" w:w="17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Data Type</w:t>
            </w:r>
          </w:p>
        </w:tc>
        <w:tc>
          <w:tcPr>
            <w:tcW w:type="dxa" w:w="44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Description</w:t>
            </w:r>
          </w:p>
        </w:tc>
        <w:tc>
          <w:tcPr>
            <w:tcW w:type="dxa" w:w="10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Required</w:t>
            </w:r>
          </w:p>
        </w:tc>
      </w:tr>
      <w:tr>
        <w:tc>
          <w:tcPr>
            <w:tcW w:type="dxa" w:w="21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interaction_id</w:t>
            </w:r>
          </w:p>
        </w:tc>
        <w:tc>
          <w:tcPr>
            <w:tcW w:type="dxa" w:w="17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UUID</w:t>
            </w:r>
          </w:p>
        </w:tc>
        <w:tc>
          <w:tcPr>
            <w:tcW w:type="dxa" w:w="4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System-generated primary key</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interaction_type</w:t>
            </w:r>
          </w:p>
        </w:tc>
        <w:tc>
          <w:tcPr>
            <w:tcW w:type="dxa" w:w="17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ENUM</w:t>
            </w:r>
          </w:p>
        </w:tc>
        <w:tc>
          <w:tcPr>
            <w:tcW w:type="dxa" w:w="4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query / compare / api_query / api_compare</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user_id</w:t>
            </w:r>
          </w:p>
        </w:tc>
        <w:tc>
          <w:tcPr>
            <w:tcW w:type="dxa" w:w="17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VARCHAR(200)</w:t>
            </w:r>
          </w:p>
        </w:tc>
        <w:tc>
          <w:tcPr>
            <w:tcW w:type="dxa" w:w="4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Authenticated user or system identifier</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timestamp</w:t>
            </w:r>
          </w:p>
        </w:tc>
        <w:tc>
          <w:tcPr>
            <w:tcW w:type="dxa" w:w="17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TIMESTAMP</w:t>
            </w:r>
          </w:p>
        </w:tc>
        <w:tc>
          <w:tcPr>
            <w:tcW w:type="dxa" w:w="4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Interaction initiation time</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query_text</w:t>
            </w:r>
          </w:p>
        </w:tc>
        <w:tc>
          <w:tcPr>
            <w:tcW w:type="dxa" w:w="17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TEXT</w:t>
            </w:r>
          </w:p>
        </w:tc>
        <w:tc>
          <w:tcPr>
            <w:tcW w:type="dxa" w:w="4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Raw query or comparison parameter set submitted</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filters_applied</w:t>
            </w:r>
          </w:p>
        </w:tc>
        <w:tc>
          <w:tcPr>
            <w:tcW w:type="dxa" w:w="17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JSONB</w:t>
            </w:r>
          </w:p>
        </w:tc>
        <w:tc>
          <w:tcPr>
            <w:tcW w:type="dxa" w:w="4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Metadata filters applied at retrieval time</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chunks_retrieved</w:t>
            </w:r>
          </w:p>
        </w:tc>
        <w:tc>
          <w:tcPr>
            <w:tcW w:type="dxa" w:w="17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UUID[]</w:t>
            </w:r>
          </w:p>
        </w:tc>
        <w:tc>
          <w:tcPr>
            <w:tcW w:type="dxa" w:w="4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Array of chunk_ids returned by retrieval</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synthesis_output</w:t>
            </w:r>
          </w:p>
        </w:tc>
        <w:tc>
          <w:tcPr>
            <w:tcW w:type="dxa" w:w="17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TEXT</w:t>
            </w:r>
          </w:p>
        </w:tc>
        <w:tc>
          <w:tcPr>
            <w:tcW w:type="dxa" w:w="4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Full synthesis response text</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corpus_snapshot_id</w:t>
            </w:r>
          </w:p>
        </w:tc>
        <w:tc>
          <w:tcPr>
            <w:tcW w:type="dxa" w:w="17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UUID</w:t>
            </w:r>
          </w:p>
        </w:tc>
        <w:tc>
          <w:tcPr>
            <w:tcW w:type="dxa" w:w="4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Corpus version at time of interaction</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model_version</w:t>
            </w:r>
          </w:p>
        </w:tc>
        <w:tc>
          <w:tcPr>
            <w:tcW w:type="dxa" w:w="17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VARCHAR(100)</w:t>
            </w:r>
          </w:p>
        </w:tc>
        <w:tc>
          <w:tcPr>
            <w:tcW w:type="dxa" w:w="4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Synthesis model version used</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latency_ms</w:t>
            </w:r>
          </w:p>
        </w:tc>
        <w:tc>
          <w:tcPr>
            <w:tcW w:type="dxa" w:w="17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INTEGER</w:t>
            </w:r>
          </w:p>
        </w:tc>
        <w:tc>
          <w:tcPr>
            <w:tcW w:type="dxa" w:w="4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End-to-end response time in milliseconds</w:t>
            </w:r>
          </w:p>
        </w:tc>
        <w:tc>
          <w:tcPr>
            <w:tcW w:type="dxa" w:w="1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r>
        <w:tc>
          <w:tcPr>
            <w:tcW w:type="dxa" w:w="21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confidence_level</w:t>
            </w:r>
          </w:p>
        </w:tc>
        <w:tc>
          <w:tcPr>
            <w:tcW w:type="dxa" w:w="17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ENUM</w:t>
            </w:r>
          </w:p>
        </w:tc>
        <w:tc>
          <w:tcPr>
            <w:tcW w:type="dxa" w:w="4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High / Medium / Low</w:t>
            </w:r>
          </w:p>
        </w:tc>
        <w:tc>
          <w:tcPr>
            <w:tcW w:type="dxa" w:w="1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MUST</w:t>
            </w:r>
          </w:p>
        </w:tc>
      </w:tr>
    </w:tbl>
    <w:p>
      <w:r>
        <w:br/>
      </w:r>
    </w:p>
    <w:p>
      <w:pPr>
        <w:pStyle w:val="Heading1"/>
        <w:spacing w:after="140" w:before="400"/>
      </w:pPr>
      <w:r>
        <w:rPr>
          <w:rFonts w:ascii="Arial" w:cs="Arial" w:eastAsia="Arial" w:hAnsi="Arial"/>
          <w:b/>
          <w:bCs/>
          <w:color w:val="1B3A6B"/>
          <w:sz w:val="34"/>
          <w:szCs w:val="34"/>
        </w:rPr>
        <w:t xml:space="preserve">8. Corpus Governance Requirements</w:t>
      </w:r>
    </w:p>
    <w:p>
      <w:pPr>
        <w:spacing w:after="80" w:before="80"/>
      </w:pPr>
      <w:r>
        <w:rPr>
          <w:rFonts w:ascii="Arial" w:cs="Arial" w:eastAsia="Arial" w:hAnsi="Arial"/>
          <w:b w:val="false"/>
          <w:bCs w:val="false"/>
          <w:i w:val="false"/>
          <w:iCs w:val="false"/>
          <w:color w:val="1A1A1A"/>
          <w:sz w:val="20"/>
          <w:szCs w:val="20"/>
        </w:rPr>
        <w:t xml:space="preserve">The quality of R&amp;I Reference Engine outputs is a direct function of corpus quality. These governance requirements define the processes, cadences, and ownership structure for maintaining a reliable, current, and auditable knowledge corpus. All governance actions are recorded in the corpus version log (CRP-006).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400"/>
        <w:gridCol w:w="1360"/>
        <w:gridCol w:w="1600"/>
      </w:tblGrid>
      <w:tr>
        <w:tc>
          <w:tcPr>
            <w:tcW w:type="dxa" w:w="18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Process</w:t>
            </w:r>
          </w:p>
        </w:tc>
        <w:tc>
          <w:tcPr>
            <w:tcW w:type="dxa" w:w="32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Description</w:t>
            </w:r>
          </w:p>
        </w:tc>
        <w:tc>
          <w:tcPr>
            <w:tcW w:type="dxa" w:w="14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Owner</w:t>
            </w:r>
          </w:p>
        </w:tc>
        <w:tc>
          <w:tcPr>
            <w:tcW w:type="dxa" w:w="136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Cadence</w:t>
            </w:r>
          </w:p>
        </w:tc>
        <w:tc>
          <w:tcPr>
            <w:tcW w:type="dxa" w:w="16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Output</w:t>
            </w:r>
          </w:p>
        </w:tc>
      </w:tr>
      <w:tr>
        <w:tc>
          <w:tcPr>
            <w:tcW w:type="dxa" w:w="18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Source Qualification</w:t>
            </w:r>
          </w:p>
        </w:tc>
        <w:tc>
          <w:tcPr>
            <w:tcW w:type="dxa" w:w="3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Before any new source is added to the corpus, it must pass a qualification checklist: authoritativeness assessment, tier assignment, domain and formation tagging, rights/licensing review, and SE confirmation that the ingestion pipeline can process the source format.</w:t>
            </w:r>
          </w:p>
        </w:tc>
        <w:tc>
          <w:tcPr>
            <w:tcW w:type="dxa" w:w="1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MRB + Ganlin</w:t>
            </w:r>
          </w:p>
        </w:tc>
        <w:tc>
          <w:tcPr>
            <w:tcW w:type="dxa" w:w="13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Per new source</w:t>
            </w:r>
          </w:p>
        </w:tc>
        <w:tc>
          <w:tcPr>
            <w:tcW w:type="dxa" w:w="16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Qualification Checklist (template in Appendix A)</w:t>
            </w:r>
          </w:p>
        </w:tc>
      </w:tr>
      <w:tr>
        <w:tc>
          <w:tcPr>
            <w:tcW w:type="dxa" w:w="18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Scheduled Source Review</w:t>
            </w:r>
          </w:p>
        </w:tc>
        <w:tc>
          <w:tcPr>
            <w:tcW w:type="dxa" w:w="32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Each active Tier 1 and Tier 2 source is reviewed on a defined cadence to check for updated versions, new publications, or deprecated endpoints. Review triggers a corpus update or retirement action as appropriate.</w:t>
            </w:r>
          </w:p>
        </w:tc>
        <w:tc>
          <w:tcPr>
            <w:tcW w:type="dxa" w:w="1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Ganlin (R&amp;I)</w:t>
            </w:r>
          </w:p>
        </w:tc>
        <w:tc>
          <w:tcPr>
            <w:tcW w:type="dxa" w:w="13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Monthly (T1), Quarterly (T2)</w:t>
            </w:r>
          </w:p>
        </w:tc>
        <w:tc>
          <w:tcPr>
            <w:tcW w:type="dxa" w:w="16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Corpus Version Log entry</w:t>
            </w:r>
          </w:p>
        </w:tc>
      </w:tr>
      <w:tr>
        <w:tc>
          <w:tcPr>
            <w:tcW w:type="dxa" w:w="18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Tier Reassignment</w:t>
            </w:r>
          </w:p>
        </w:tc>
        <w:tc>
          <w:tcPr>
            <w:tcW w:type="dxa" w:w="3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Any team member may propose a tier change for an existing source. Changes require MRB approval and are documented with rationale.</w:t>
            </w:r>
          </w:p>
        </w:tc>
        <w:tc>
          <w:tcPr>
            <w:tcW w:type="dxa" w:w="1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Proposer / MRB approval</w:t>
            </w:r>
          </w:p>
        </w:tc>
        <w:tc>
          <w:tcPr>
            <w:tcW w:type="dxa" w:w="13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As needed</w:t>
            </w:r>
          </w:p>
        </w:tc>
        <w:tc>
          <w:tcPr>
            <w:tcW w:type="dxa" w:w="16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Corpus Version Log entry + rationale memo</w:t>
            </w:r>
          </w:p>
        </w:tc>
      </w:tr>
      <w:tr>
        <w:tc>
          <w:tcPr>
            <w:tcW w:type="dxa" w:w="18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Document Retirement</w:t>
            </w:r>
          </w:p>
        </w:tc>
        <w:tc>
          <w:tcPr>
            <w:tcW w:type="dxa" w:w="32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When a source is superseded, retracted, or its license expires, it is marked Retired in the corpus. Retired documents are retained in storage but excluded from retrieval. Existing interactions referencing retired sources are flagged in audit logs.</w:t>
            </w:r>
          </w:p>
        </w:tc>
        <w:tc>
          <w:tcPr>
            <w:tcW w:type="dxa" w:w="1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SE + Ganlin</w:t>
            </w:r>
          </w:p>
        </w:tc>
        <w:tc>
          <w:tcPr>
            <w:tcW w:type="dxa" w:w="13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As needed</w:t>
            </w:r>
          </w:p>
        </w:tc>
        <w:tc>
          <w:tcPr>
            <w:tcW w:type="dxa" w:w="16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Corpus Version Log entry</w:t>
            </w:r>
          </w:p>
        </w:tc>
      </w:tr>
      <w:tr>
        <w:tc>
          <w:tcPr>
            <w:tcW w:type="dxa" w:w="18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Embedding Model Upgrade</w:t>
            </w:r>
          </w:p>
        </w:tc>
        <w:tc>
          <w:tcPr>
            <w:tcW w:type="dxa" w:w="3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When the embedding model is upgraded, all existing chunks must be re-embedded. This requires a full corpus re-indexing cycle. Interactions conducted before the upgrade reference the prior corpus_snapshot_id for reproducibility.</w:t>
            </w:r>
          </w:p>
        </w:tc>
        <w:tc>
          <w:tcPr>
            <w:tcW w:type="dxa" w:w="14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SE (execution) / Stan (approval)</w:t>
            </w:r>
          </w:p>
        </w:tc>
        <w:tc>
          <w:tcPr>
            <w:tcW w:type="dxa" w:w="13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Per model upgrade</w:t>
            </w:r>
          </w:p>
        </w:tc>
        <w:tc>
          <w:tcPr>
            <w:tcW w:type="dxa" w:w="16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ADR update + corpus snapshot record</w:t>
            </w:r>
          </w:p>
        </w:tc>
      </w:tr>
      <w:tr>
        <w:tc>
          <w:tcPr>
            <w:tcW w:type="dxa" w:w="18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Emergency Corpus Action</w:t>
            </w:r>
          </w:p>
        </w:tc>
        <w:tc>
          <w:tcPr>
            <w:tcW w:type="dxa" w:w="32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If a corpus document is identified as containing erroneous, fabricated, or compromised data, it is immediately retired (status: Flagged) and all R&amp;I interactions conducted after its ingestion date are flagged for analyst review.</w:t>
            </w:r>
          </w:p>
        </w:tc>
        <w:tc>
          <w:tcPr>
            <w:tcW w:type="dxa" w:w="14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SE (immediate) / MRB (notification within 4 hrs)</w:t>
            </w:r>
          </w:p>
        </w:tc>
        <w:tc>
          <w:tcPr>
            <w:tcW w:type="dxa" w:w="13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As needed</w:t>
            </w:r>
          </w:p>
        </w:tc>
        <w:tc>
          <w:tcPr>
            <w:tcW w:type="dxa" w:w="16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Incident report + corpus audit</w:t>
            </w:r>
          </w:p>
        </w:tc>
      </w:tr>
    </w:tbl>
    <w:p>
      <w:r>
        <w:t xml:space="preserve"/>
      </w:r>
    </w:p>
    <w:p>
      <w:pPr>
        <w:pStyle w:val="Heading2"/>
        <w:spacing w:after="100" w:before="300"/>
      </w:pPr>
      <w:r>
        <w:rPr>
          <w:rFonts w:ascii="Arial" w:cs="Arial" w:eastAsia="Arial" w:hAnsi="Arial"/>
          <w:b/>
          <w:bCs/>
          <w:color w:val="2E6DA4"/>
          <w:sz w:val="26"/>
          <w:szCs w:val="26"/>
        </w:rPr>
        <w:t xml:space="preserve">8.1  Reliability Tier Definitions</w:t>
      </w:r>
    </w:p>
    <w:p>
      <w:pPr>
        <w:spacing w:after="80" w:before="80"/>
      </w:pPr>
      <w:r>
        <w:rPr>
          <w:rFonts w:ascii="Arial" w:cs="Arial" w:eastAsia="Arial" w:hAnsi="Arial"/>
          <w:b w:val="false"/>
          <w:bCs w:val="false"/>
          <w:i w:val="false"/>
          <w:iCs w:val="false"/>
          <w:color w:val="1A1A1A"/>
          <w:sz w:val="20"/>
          <w:szCs w:val="20"/>
        </w:rPr>
        <w:t xml:space="preserve">The following definitions are normative and govern tier assignment decisions across all corpus documents:</w:t>
      </w:r>
    </w:p>
    <w:p>
      <w:r>
        <w:t xml:space="preserve"/>
      </w:r>
    </w:p>
    <w:p>
      <w:pPr>
        <w:spacing w:after="80" w:before="80"/>
      </w:pPr>
      <w:r>
        <w:rPr>
          <w:rFonts w:ascii="Arial" w:cs="Arial" w:eastAsia="Arial" w:hAnsi="Arial"/>
          <w:b/>
          <w:bCs/>
          <w:color w:val="2E6DA4"/>
          <w:sz w:val="20"/>
          <w:szCs w:val="20"/>
        </w:rPr>
        <w:t xml:space="preserve">Tier 1 — Primary Authoritative: </w:t>
      </w:r>
      <w:r>
        <w:rPr>
          <w:rFonts w:ascii="Arial" w:cs="Arial" w:eastAsia="Arial" w:hAnsi="Arial"/>
          <w:color w:val="1A1A1A"/>
          <w:sz w:val="20"/>
          <w:szCs w:val="20"/>
        </w:rPr>
        <w:t xml:space="preserve">U.S. federal government agencies (USGS, EIA, DOE), peer-reviewed publications in SPE, AAPG, or equivalent journals, state geological surveys (e.g., Bureau of Economic Geology), and regulatory bodies (RRC, BOEM). These sources represent the highest evidentiary weight for R&amp;I conclusions.</w:t>
      </w:r>
    </w:p>
    <w:p>
      <w:r>
        <w:t xml:space="preserve"/>
      </w:r>
    </w:p>
    <w:p>
      <w:pPr>
        <w:spacing w:after="80" w:before="80"/>
      </w:pPr>
      <w:r>
        <w:rPr>
          <w:rFonts w:ascii="Arial" w:cs="Arial" w:eastAsia="Arial" w:hAnsi="Arial"/>
          <w:b/>
          <w:bCs/>
          <w:color w:val="2E6DA4"/>
          <w:sz w:val="20"/>
          <w:szCs w:val="20"/>
        </w:rPr>
        <w:t xml:space="preserve">Tier 2 — Industry Standard: </w:t>
      </w:r>
      <w:r>
        <w:rPr>
          <w:rFonts w:ascii="Arial" w:cs="Arial" w:eastAsia="Arial" w:hAnsi="Arial"/>
          <w:color w:val="1A1A1A"/>
          <w:sz w:val="20"/>
          <w:szCs w:val="20"/>
        </w:rPr>
        <w:t xml:space="preserve">Major independent operators' public filings (SEC EDGAR), recognized commercial data providers with documented methodology (IHS/Enverus, NoviLabs), and industry association technical standards. These sources are reliable reference material but carry operator or commercial bias.</w:t>
      </w:r>
    </w:p>
    <w:p>
      <w:r>
        <w:t xml:space="preserve"/>
      </w:r>
    </w:p>
    <w:p>
      <w:pPr>
        <w:spacing w:after="80" w:before="80"/>
      </w:pPr>
      <w:r>
        <w:rPr>
          <w:rFonts w:ascii="Arial" w:cs="Arial" w:eastAsia="Arial" w:hAnsi="Arial"/>
          <w:b/>
          <w:bCs/>
          <w:color w:val="2E6DA4"/>
          <w:sz w:val="20"/>
          <w:szCs w:val="20"/>
        </w:rPr>
        <w:t xml:space="preserve">Tier 3 — Secondary / Contextual: </w:t>
      </w:r>
      <w:r>
        <w:rPr>
          <w:rFonts w:ascii="Arial" w:cs="Arial" w:eastAsia="Arial" w:hAnsi="Arial"/>
          <w:color w:val="1A1A1A"/>
          <w:sz w:val="20"/>
          <w:szCs w:val="20"/>
        </w:rPr>
        <w:t xml:space="preserve">Operator-provided analogs, regional conference presentations, trade press, and non-peer-reviewed technical reports. Tier 3 sources are contextual only; R&amp;I conclusions must not rely on Tier 3 citations as primary evidence.</w:t>
      </w:r>
    </w:p>
    <w:p>
      <w:r>
        <w:br/>
      </w:r>
    </w:p>
    <w:p>
      <w:pPr>
        <w:pStyle w:val="Heading1"/>
        <w:spacing w:after="140" w:before="400"/>
      </w:pPr>
      <w:r>
        <w:rPr>
          <w:rFonts w:ascii="Arial" w:cs="Arial" w:eastAsia="Arial" w:hAnsi="Arial"/>
          <w:b/>
          <w:bCs/>
          <w:color w:val="1B3A6B"/>
          <w:sz w:val="34"/>
          <w:szCs w:val="34"/>
        </w:rPr>
        <w:t xml:space="preserve">9. Maintenance &amp; Operations Requirements</w:t>
      </w:r>
    </w:p>
    <w:p>
      <w:pPr>
        <w:pStyle w:val="Heading2"/>
        <w:spacing w:after="100" w:before="300"/>
      </w:pPr>
      <w:r>
        <w:rPr>
          <w:rFonts w:ascii="Arial" w:cs="Arial" w:eastAsia="Arial" w:hAnsi="Arial"/>
          <w:b/>
          <w:bCs/>
          <w:color w:val="2E6DA4"/>
          <w:sz w:val="26"/>
          <w:szCs w:val="26"/>
        </w:rPr>
        <w:t xml:space="preserve">9.1  Operational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200"/>
        <w:gridCol w:w="2460"/>
      </w:tblGrid>
      <w:tr>
        <w:tc>
          <w:tcPr>
            <w:tcW w:type="dxa" w:w="12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Cadence</w:t>
            </w:r>
          </w:p>
        </w:tc>
        <w:tc>
          <w:tcPr>
            <w:tcW w:type="dxa" w:w="35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Activities</w:t>
            </w:r>
          </w:p>
        </w:tc>
        <w:tc>
          <w:tcPr>
            <w:tcW w:type="dxa" w:w="22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Owner</w:t>
            </w:r>
          </w:p>
        </w:tc>
        <w:tc>
          <w:tcPr>
            <w:tcW w:type="dxa" w:w="246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Output</w:t>
            </w:r>
          </w:p>
        </w:tc>
      </w:tr>
      <w:tr>
        <w:tc>
          <w:tcPr>
            <w:tcW w:type="dxa" w:w="1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Daily</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Automated health check: API endpoint availability, ingestion pipeline queue depth, storage utilization, error log scan.</w:t>
            </w:r>
          </w:p>
        </w:tc>
        <w:tc>
          <w:tcPr>
            <w:tcW w:type="dxa" w:w="2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Automated (alert to Stan if threshold breached)</w:t>
            </w:r>
          </w:p>
        </w:tc>
        <w:tc>
          <w:tcPr>
            <w:tcW w:type="dxa" w:w="24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Monitoring platform dashboard</w:t>
            </w:r>
          </w:p>
        </w:tc>
      </w:tr>
      <w:tr>
        <w:tc>
          <w:tcPr>
            <w:tcW w:type="dxa" w:w="12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Weekly</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Review query latency p95 and p99 metrics. Review retrieval quality score trends. Review any flagged stale sources. Review API error rates.</w:t>
            </w:r>
          </w:p>
        </w:tc>
        <w:tc>
          <w:tcPr>
            <w:tcW w:type="dxa" w:w="22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SE / Stan</w:t>
            </w:r>
          </w:p>
        </w:tc>
        <w:tc>
          <w:tcPr>
            <w:tcW w:type="dxa" w:w="24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Weekly ops report</w:t>
            </w:r>
          </w:p>
        </w:tc>
      </w:tr>
      <w:tr>
        <w:tc>
          <w:tcPr>
            <w:tcW w:type="dxa" w:w="1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Monthly</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Scheduled source review (Tier 1). Corpus document count and tier distribution audit. Cost review (API spend, infrastructure). Review any open corpus update actions.</w:t>
            </w:r>
          </w:p>
        </w:tc>
        <w:tc>
          <w:tcPr>
            <w:tcW w:type="dxa" w:w="2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Ganlin + SE</w:t>
            </w:r>
          </w:p>
        </w:tc>
        <w:tc>
          <w:tcPr>
            <w:tcW w:type="dxa" w:w="24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Monthly corpus health report</w:t>
            </w:r>
          </w:p>
        </w:tc>
      </w:tr>
      <w:tr>
        <w:tc>
          <w:tcPr>
            <w:tcW w:type="dxa" w:w="12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Quarterly</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Tier 2 source review. Embedding model performance evaluation against held-out query set. Architecture review: any scaling adjustments required. Dependency updates (security patches, library updates).</w:t>
            </w:r>
          </w:p>
        </w:tc>
        <w:tc>
          <w:tcPr>
            <w:tcW w:type="dxa" w:w="22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SE + Stan</w:t>
            </w:r>
          </w:p>
        </w:tc>
        <w:tc>
          <w:tcPr>
            <w:tcW w:type="dxa" w:w="24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Quarterly technical review memo</w:t>
            </w:r>
          </w:p>
        </w:tc>
      </w:tr>
      <w:tr>
        <w:tc>
          <w:tcPr>
            <w:tcW w:type="dxa" w:w="1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Annual</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Full corpus audit: all sources reviewed for currency and tier accuracy. ADR review: any architecture decisions requiring revisitation. Retention log review (NFR-009).</w:t>
            </w:r>
          </w:p>
        </w:tc>
        <w:tc>
          <w:tcPr>
            <w:tcW w:type="dxa" w:w="22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MRB + Stan + SE</w:t>
            </w:r>
          </w:p>
        </w:tc>
        <w:tc>
          <w:tcPr>
            <w:tcW w:type="dxa" w:w="24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Annual corpus audit report</w:t>
            </w:r>
          </w:p>
        </w:tc>
      </w:tr>
      <w:tr>
        <w:tc>
          <w:tcPr>
            <w:tcW w:type="dxa" w:w="12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Event-Driven</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Embedding model upgrade: full re-indexing cycle. Synthesis model upgrade: regression test against standard query set. Security vulnerability: patch cycle within 72 hours. Corpus integrity incident: emergency action protocol.</w:t>
            </w:r>
          </w:p>
        </w:tc>
        <w:tc>
          <w:tcPr>
            <w:tcW w:type="dxa" w:w="22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SE (execution) / Stan (approval)</w:t>
            </w:r>
          </w:p>
        </w:tc>
        <w:tc>
          <w:tcPr>
            <w:tcW w:type="dxa" w:w="24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Per-event documentation</w:t>
            </w:r>
          </w:p>
        </w:tc>
      </w:tr>
    </w:tbl>
    <w:p>
      <w:r>
        <w:t xml:space="preserve"/>
      </w:r>
    </w:p>
    <w:p>
      <w:pPr>
        <w:pStyle w:val="Heading2"/>
        <w:spacing w:after="100" w:before="300"/>
      </w:pPr>
      <w:r>
        <w:rPr>
          <w:rFonts w:ascii="Arial" w:cs="Arial" w:eastAsia="Arial" w:hAnsi="Arial"/>
          <w:b/>
          <w:bCs/>
          <w:color w:val="2E6DA4"/>
          <w:sz w:val="26"/>
          <w:szCs w:val="26"/>
        </w:rPr>
        <w:t xml:space="preserve">9.2  Incident Response Requirements</w:t>
      </w:r>
    </w:p>
    <w:p>
      <w:pPr>
        <w:spacing w:after="80" w:before="80"/>
      </w:pPr>
      <w:r>
        <w:rPr>
          <w:rFonts w:ascii="Arial" w:cs="Arial" w:eastAsia="Arial" w:hAnsi="Arial"/>
          <w:b w:val="false"/>
          <w:bCs w:val="false"/>
          <w:i w:val="false"/>
          <w:iCs w:val="false"/>
          <w:color w:val="1A1A1A"/>
          <w:sz w:val="20"/>
          <w:szCs w:val="20"/>
        </w:rPr>
        <w:t xml:space="preserve">The following incident categories have defined response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2000"/>
        <w:gridCol w:w="2060"/>
      </w:tblGrid>
      <w:tr>
        <w:tc>
          <w:tcPr>
            <w:tcW w:type="dxa" w:w="18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Severity</w:t>
            </w:r>
          </w:p>
        </w:tc>
        <w:tc>
          <w:tcPr>
            <w:tcW w:type="dxa" w:w="35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Definition</w:t>
            </w:r>
          </w:p>
        </w:tc>
        <w:tc>
          <w:tcPr>
            <w:tcW w:type="dxa" w:w="20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Response SLA</w:t>
            </w:r>
          </w:p>
        </w:tc>
        <w:tc>
          <w:tcPr>
            <w:tcW w:type="dxa" w:w="206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Owner</w:t>
            </w:r>
          </w:p>
        </w:tc>
      </w:tr>
      <w:tr>
        <w:tc>
          <w:tcPr>
            <w:tcW w:type="dxa" w:w="18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P1 — Critical</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System entirely unavailable; no queries or API calls succeeding</w:t>
            </w:r>
          </w:p>
        </w:tc>
        <w:tc>
          <w:tcPr>
            <w:tcW w:type="dxa" w:w="2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Acknowledge within 1 hr; restore within 4 hrs</w:t>
            </w:r>
          </w:p>
        </w:tc>
        <w:tc>
          <w:tcPr>
            <w:tcW w:type="dxa" w:w="20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SE + Stan</w:t>
            </w:r>
          </w:p>
        </w:tc>
      </w:tr>
      <w:tr>
        <w:tc>
          <w:tcPr>
            <w:tcW w:type="dxa" w:w="18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P2 — High</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Synthesis layer degraded; retrieval functioning but responses incomplete or erroring</w:t>
            </w:r>
          </w:p>
        </w:tc>
        <w:tc>
          <w:tcPr>
            <w:tcW w:type="dxa" w:w="2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Acknowledge within 2 hrs; restore within 8 hrs</w:t>
            </w:r>
          </w:p>
        </w:tc>
        <w:tc>
          <w:tcPr>
            <w:tcW w:type="dxa" w:w="20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SE</w:t>
            </w:r>
          </w:p>
        </w:tc>
      </w:tr>
      <w:tr>
        <w:tc>
          <w:tcPr>
            <w:tcW w:type="dxa" w:w="18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P3 — Medium</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Ingestion pipeline failure; corpus updates blocked but existing retrieval unaffected</w:t>
            </w:r>
          </w:p>
        </w:tc>
        <w:tc>
          <w:tcPr>
            <w:tcW w:type="dxa" w:w="2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Acknowledge within 4 hrs; restore within 24 hrs</w:t>
            </w:r>
          </w:p>
        </w:tc>
        <w:tc>
          <w:tcPr>
            <w:tcW w:type="dxa" w:w="20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SE</w:t>
            </w:r>
          </w:p>
        </w:tc>
      </w:tr>
      <w:tr>
        <w:tc>
          <w:tcPr>
            <w:tcW w:type="dxa" w:w="18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P4 — Low</w:t>
            </w:r>
          </w:p>
        </w:tc>
        <w:tc>
          <w:tcPr>
            <w:tcW w:type="dxa" w:w="35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Single source ingestion failure; non-critical monitoring alert; UI cosmetic issue</w:t>
            </w:r>
          </w:p>
        </w:tc>
        <w:tc>
          <w:tcPr>
            <w:tcW w:type="dxa" w:w="20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Acknowledge within 1 business day; resolve within 5 business days</w:t>
            </w:r>
          </w:p>
        </w:tc>
        <w:tc>
          <w:tcPr>
            <w:tcW w:type="dxa" w:w="20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SE</w:t>
            </w:r>
          </w:p>
        </w:tc>
      </w:tr>
      <w:tr>
        <w:tc>
          <w:tcPr>
            <w:tcW w:type="dxa" w:w="18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P1-Corpus — Data Integrity</w:t>
            </w:r>
          </w:p>
        </w:tc>
        <w:tc>
          <w:tcPr>
            <w:tcW w:type="dxa" w:w="35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Corpus document identified as erroneous, fabricated, or compromised</w:t>
            </w:r>
          </w:p>
        </w:tc>
        <w:tc>
          <w:tcPr>
            <w:tcW w:type="dxa" w:w="20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Retire document immediately; notify MRB within 4 hrs; flag affected interactions</w:t>
            </w:r>
          </w:p>
        </w:tc>
        <w:tc>
          <w:tcPr>
            <w:tcW w:type="dxa" w:w="20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SE + MRB</w:t>
            </w:r>
          </w:p>
        </w:tc>
      </w:tr>
    </w:tbl>
    <w:p>
      <w:r>
        <w:t xml:space="preserve"/>
      </w:r>
    </w:p>
    <w:p>
      <w:pPr>
        <w:pStyle w:val="Heading2"/>
        <w:spacing w:after="100" w:before="300"/>
      </w:pPr>
      <w:r>
        <w:rPr>
          <w:rFonts w:ascii="Arial" w:cs="Arial" w:eastAsia="Arial" w:hAnsi="Arial"/>
          <w:b/>
          <w:bCs/>
          <w:color w:val="2E6DA4"/>
          <w:sz w:val="26"/>
          <w:szCs w:val="26"/>
        </w:rPr>
        <w:t xml:space="preserve">9.3  Dependency Management</w:t>
      </w:r>
    </w:p>
    <w:p>
      <w:pPr>
        <w:spacing w:after="80" w:before="80"/>
      </w:pPr>
      <w:r>
        <w:rPr>
          <w:rFonts w:ascii="Arial" w:cs="Arial" w:eastAsia="Arial" w:hAnsi="Arial"/>
          <w:b w:val="false"/>
          <w:bCs w:val="false"/>
          <w:i w:val="false"/>
          <w:iCs w:val="false"/>
          <w:color w:val="1A1A1A"/>
          <w:sz w:val="20"/>
          <w:szCs w:val="20"/>
        </w:rPr>
        <w:t xml:space="preserve">The following external dependencies require active version management:</w:t>
      </w:r>
    </w:p>
    <w:p>
      <w:pPr>
        <w:pStyle w:val="ListParagraph"/>
        <w:numPr>
          <w:ilvl w:val="0"/>
          <w:numId w:val="2"/>
        </w:numPr>
        <w:spacing w:after="55" w:before="55"/>
      </w:pPr>
      <w:r>
        <w:rPr>
          <w:rFonts w:ascii="Arial" w:cs="Arial" w:eastAsia="Arial" w:hAnsi="Arial"/>
          <w:color w:val="1A1A1A"/>
          <w:sz w:val="20"/>
          <w:szCs w:val="20"/>
        </w:rPr>
        <w:t xml:space="preserve">Claude API (Anthropic): monitor model deprecation notices; test and migrate to new model versions within 60 days of deprecation announcement</w:t>
      </w:r>
    </w:p>
    <w:p>
      <w:pPr>
        <w:pStyle w:val="ListParagraph"/>
        <w:numPr>
          <w:ilvl w:val="0"/>
          <w:numId w:val="2"/>
        </w:numPr>
        <w:spacing w:after="55" w:before="55"/>
      </w:pPr>
      <w:r>
        <w:rPr>
          <w:rFonts w:ascii="Arial" w:cs="Arial" w:eastAsia="Arial" w:hAnsi="Arial"/>
          <w:color w:val="1A1A1A"/>
          <w:sz w:val="20"/>
          <w:szCs w:val="20"/>
        </w:rPr>
        <w:t xml:space="preserve">Embedding model: version-pin in production; evaluate upgrades quarterly against held-out query set (see ADR-003)</w:t>
      </w:r>
    </w:p>
    <w:p>
      <w:pPr>
        <w:pStyle w:val="ListParagraph"/>
        <w:numPr>
          <w:ilvl w:val="0"/>
          <w:numId w:val="2"/>
        </w:numPr>
        <w:spacing w:after="55" w:before="55"/>
      </w:pPr>
      <w:r>
        <w:rPr>
          <w:rFonts w:ascii="Arial" w:cs="Arial" w:eastAsia="Arial" w:hAnsi="Arial"/>
          <w:color w:val="1A1A1A"/>
          <w:sz w:val="20"/>
          <w:szCs w:val="20"/>
        </w:rPr>
        <w:t xml:space="preserve">Vector database: apply security patches within 72 hours; major version upgrades require staging environment validation</w:t>
      </w:r>
    </w:p>
    <w:p>
      <w:pPr>
        <w:pStyle w:val="ListParagraph"/>
        <w:numPr>
          <w:ilvl w:val="0"/>
          <w:numId w:val="2"/>
        </w:numPr>
        <w:spacing w:after="55" w:before="55"/>
      </w:pPr>
      <w:r>
        <w:rPr>
          <w:rFonts w:ascii="Arial" w:cs="Arial" w:eastAsia="Arial" w:hAnsi="Arial"/>
          <w:color w:val="1A1A1A"/>
          <w:sz w:val="20"/>
          <w:szCs w:val="20"/>
        </w:rPr>
        <w:t xml:space="preserve">External data APIs (EIA, RRC, NoviLabs): monitor for API version changes; validate ingestion pipeline after any provider update</w:t>
      </w:r>
    </w:p>
    <w:p>
      <w:pPr>
        <w:pStyle w:val="ListParagraph"/>
        <w:numPr>
          <w:ilvl w:val="0"/>
          <w:numId w:val="2"/>
        </w:numPr>
        <w:spacing w:after="55" w:before="55"/>
      </w:pPr>
      <w:r>
        <w:rPr>
          <w:rFonts w:ascii="Arial" w:cs="Arial" w:eastAsia="Arial" w:hAnsi="Arial"/>
          <w:color w:val="1A1A1A"/>
          <w:sz w:val="20"/>
          <w:szCs w:val="20"/>
        </w:rPr>
        <w:t xml:space="preserve">Python/Node.js dependencies: automated dependency scanning (Dependabot or equivalent); critical security patches within 72 hours</w:t>
      </w:r>
    </w:p>
    <w:p>
      <w:r>
        <w:br/>
      </w:r>
    </w:p>
    <w:p>
      <w:pPr>
        <w:pStyle w:val="Heading1"/>
        <w:spacing w:after="140" w:before="400"/>
      </w:pPr>
      <w:r>
        <w:rPr>
          <w:rFonts w:ascii="Arial" w:cs="Arial" w:eastAsia="Arial" w:hAnsi="Arial"/>
          <w:b/>
          <w:bCs/>
          <w:color w:val="1B3A6B"/>
          <w:sz w:val="34"/>
          <w:szCs w:val="34"/>
        </w:rPr>
        <w:t xml:space="preserve">10. Development Roadmap Alignment</w:t>
      </w:r>
    </w:p>
    <w:p>
      <w:pPr>
        <w:spacing w:after="80" w:before="80"/>
      </w:pPr>
      <w:r>
        <w:rPr>
          <w:rFonts w:ascii="Arial" w:cs="Arial" w:eastAsia="Arial" w:hAnsi="Arial"/>
          <w:b w:val="false"/>
          <w:bCs w:val="false"/>
          <w:i w:val="false"/>
          <w:iCs w:val="false"/>
          <w:color w:val="1A1A1A"/>
          <w:sz w:val="20"/>
          <w:szCs w:val="20"/>
        </w:rPr>
        <w:t xml:space="preserve">This TRD maps to the four-phase work plan (TCA-WORKPLAN-2026-RI-001). The table below shows which requirements are addressed in each phase: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Phase</w:t>
            </w:r>
          </w:p>
        </w:tc>
        <w:tc>
          <w:tcPr>
            <w:tcW w:type="dxa" w:w="160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Timeline</w:t>
            </w:r>
          </w:p>
        </w:tc>
        <w:tc>
          <w:tcPr>
            <w:tcW w:type="dxa" w:w="6160"/>
            <w:tcBorders>
              <w:top w:val="single" w:color="C8D6E5" w:sz="1"/>
              <w:left w:val="single" w:color="C8D6E5" w:sz="1"/>
              <w:bottom w:val="single" w:color="C8D6E5" w:sz="1"/>
              <w:right w:val="single" w:color="C8D6E5" w:sz="1"/>
            </w:tcBorders>
            <w:shd w:fill="1B3A6B" w:val="clear"/>
            <w:tcMar>
              <w:top w:type="dxa" w:w="90"/>
              <w:left w:type="dxa" w:w="130"/>
              <w:bottom w:type="dxa" w:w="90"/>
              <w:right w:type="dxa" w:w="130"/>
            </w:tcMar>
            <w:vAlign w:val="center"/>
          </w:tcPr>
          <w:p>
            <w:pPr>
              <w:jc w:val="left"/>
            </w:pPr>
            <w:r>
              <w:rPr>
                <w:rFonts w:ascii="Arial" w:cs="Arial" w:eastAsia="Arial" w:hAnsi="Arial"/>
                <w:b/>
                <w:bCs/>
                <w:color w:val="FFFFFF"/>
                <w:sz w:val="19"/>
                <w:szCs w:val="19"/>
              </w:rPr>
              <w:t xml:space="preserve">Requirements Addressed</w:t>
            </w:r>
          </w:p>
        </w:tc>
      </w:tr>
      <w:tr>
        <w:tc>
          <w:tcPr>
            <w:tcW w:type="dxa" w:w="16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Phase 1
Foundation &amp; Corpus Planning</w:t>
            </w:r>
          </w:p>
        </w:tc>
        <w:tc>
          <w:tcPr>
            <w:tcW w:type="dxa" w:w="16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Weeks 1–3</w:t>
            </w:r>
          </w:p>
        </w:tc>
        <w:tc>
          <w:tcPr>
            <w:tcW w:type="dxa" w:w="61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Architecture decisions finalized (ADR-001 through ADR-006). Platform and vector DB selected (ADR-002, ADR-005). Data model specified (Section 7). Source inventory completed (CRP-001 through CRP-009 scope defined). Infrastructure provisioned (NFR-005, NFR-006, NFR-011). Interface Contract drafted (INT-007).</w:t>
            </w:r>
          </w:p>
        </w:tc>
      </w:tr>
      <w:tr>
        <w:tc>
          <w:tcPr>
            <w:tcW w:type="dxa" w:w="16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Phase 2
Corpus Ingestion &amp; Indexing</w:t>
            </w:r>
          </w:p>
        </w:tc>
        <w:tc>
          <w:tcPr>
            <w:tcW w:type="dxa" w:w="16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Weeks 4–8</w:t>
            </w:r>
          </w:p>
        </w:tc>
        <w:tc>
          <w:tcPr>
            <w:tcW w:type="dxa" w:w="61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CRP-001 through CRP-009 (ingestion pipeline). CHK-001 through CHK-006 (chunking and embedding). RET-001 through RET-007 (retrieval and hybrid search). NFR-001 through NFR-002 (performance baselines established). Governance protocol drafted (Section 8).</w:t>
            </w:r>
          </w:p>
        </w:tc>
      </w:tr>
      <w:tr>
        <w:tc>
          <w:tcPr>
            <w:tcW w:type="dxa" w:w="16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Phase 3
R&amp;I Interface Build</w:t>
            </w:r>
          </w:p>
        </w:tc>
        <w:tc>
          <w:tcPr>
            <w:tcW w:type="dxa" w:w="160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Weeks 9–14</w:t>
            </w:r>
          </w:p>
        </w:tc>
        <w:tc>
          <w:tcPr>
            <w:tcW w:type="dxa" w:w="6160"/>
            <w:tcBorders>
              <w:top w:val="single" w:color="C8D6E5" w:sz="1"/>
              <w:left w:val="single" w:color="C8D6E5" w:sz="1"/>
              <w:bottom w:val="single" w:color="C8D6E5" w:sz="1"/>
              <w:right w:val="single" w:color="C8D6E5"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SYN-001 through SYN-008 (synthesis and comparison). UI-001 through UI-008 (web interface). INT-001 through INT-007 (REST API and integration stub). NFR-003 through NFR-004 (availability and scalability). NFR-008 through NFR-009 (audit logging).</w:t>
            </w:r>
          </w:p>
        </w:tc>
      </w:tr>
      <w:tr>
        <w:tc>
          <w:tcPr>
            <w:tcW w:type="dxa" w:w="16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bCs/>
                <w:i w:val="false"/>
                <w:iCs w:val="false"/>
                <w:color w:val="1A1A1A"/>
                <w:sz w:val="19"/>
                <w:szCs w:val="19"/>
              </w:rPr>
              <w:t xml:space="preserve">Phase 4
Hardening &amp; Handoff</w:t>
            </w:r>
          </w:p>
        </w:tc>
        <w:tc>
          <w:tcPr>
            <w:tcW w:type="dxa" w:w="160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Weeks 15–20</w:t>
            </w:r>
          </w:p>
        </w:tc>
        <w:tc>
          <w:tcPr>
            <w:tcW w:type="dxa" w:w="6160"/>
            <w:tcBorders>
              <w:top w:val="single" w:color="C8D6E5" w:sz="1"/>
              <w:left w:val="single" w:color="C8D6E5" w:sz="1"/>
              <w:bottom w:val="single" w:color="C8D6E5" w:sz="1"/>
              <w:right w:val="single" w:color="C8D6E5" w:sz="1"/>
            </w:tcBorders>
            <w:shd w:fill="F4F6F8" w:val="clear"/>
            <w:tcMar>
              <w:top w:type="dxa" w:w="90"/>
              <w:left w:type="dxa" w:w="130"/>
              <w:bottom w:type="dxa" w:w="90"/>
              <w:right w:type="dxa" w:w="130"/>
            </w:tcMar>
          </w:tcPr>
          <w:p>
            <w:r>
              <w:rPr>
                <w:rFonts w:ascii="Arial" w:cs="Arial" w:eastAsia="Arial" w:hAnsi="Arial"/>
                <w:b w:val="false"/>
                <w:bCs w:val="false"/>
                <w:i w:val="false"/>
                <w:iCs w:val="false"/>
                <w:color w:val="1A1A1A"/>
                <w:sz w:val="19"/>
                <w:szCs w:val="19"/>
              </w:rPr>
              <w:t xml:space="preserve">NFR-010 through NFR-014 (maintainability, observability, portability, cost). Section 9 operational cadence established. Corpus governance activated (Section 8). All monitoring and alerting configured (NFR-012). Knowledge transfer complete.</w:t>
            </w:r>
          </w:p>
        </w:tc>
      </w:tr>
    </w:tbl>
    <w:p>
      <w:r>
        <w:t xml:space="preserve"/>
      </w:r>
    </w:p>
    <w:p>
      <w:pPr>
        <w:pStyle w:val="Heading2"/>
        <w:spacing w:after="100" w:before="300"/>
      </w:pPr>
      <w:r>
        <w:rPr>
          <w:rFonts w:ascii="Arial" w:cs="Arial" w:eastAsia="Arial" w:hAnsi="Arial"/>
          <w:b/>
          <w:bCs/>
          <w:color w:val="2E6DA4"/>
          <w:sz w:val="26"/>
          <w:szCs w:val="26"/>
        </w:rPr>
        <w:t xml:space="preserve">10.1  Requirements Deferred to Phase 2 (Post-Launch)</w:t>
      </w:r>
    </w:p>
    <w:p>
      <w:pPr>
        <w:spacing w:after="80" w:before="80"/>
      </w:pPr>
      <w:r>
        <w:rPr>
          <w:rFonts w:ascii="Arial" w:cs="Arial" w:eastAsia="Arial" w:hAnsi="Arial"/>
          <w:b w:val="false"/>
          <w:bCs w:val="false"/>
          <w:i w:val="false"/>
          <w:iCs w:val="false"/>
          <w:color w:val="1A1A1A"/>
          <w:sz w:val="20"/>
          <w:szCs w:val="20"/>
        </w:rPr>
        <w:t xml:space="preserve">The following requirements are captured here for completeness but explicitly deferred to a future phase:</w:t>
      </w:r>
    </w:p>
    <w:p>
      <w:pPr>
        <w:pStyle w:val="ListParagraph"/>
        <w:numPr>
          <w:ilvl w:val="0"/>
          <w:numId w:val="2"/>
        </w:numPr>
        <w:spacing w:after="55" w:before="55"/>
      </w:pPr>
      <w:r>
        <w:rPr>
          <w:rFonts w:ascii="Arial" w:cs="Arial" w:eastAsia="Arial" w:hAnsi="Arial"/>
          <w:color w:val="1A1A1A"/>
          <w:sz w:val="20"/>
          <w:szCs w:val="20"/>
        </w:rPr>
        <w:t xml:space="preserve">Financial, market, and regulatory domain corpus expansion (out of scope per Section 1.2)</w:t>
      </w:r>
    </w:p>
    <w:p>
      <w:pPr>
        <w:pStyle w:val="ListParagraph"/>
        <w:numPr>
          <w:ilvl w:val="0"/>
          <w:numId w:val="2"/>
        </w:numPr>
        <w:spacing w:after="55" w:before="55"/>
      </w:pPr>
      <w:r>
        <w:rPr>
          <w:rFonts w:ascii="Arial" w:cs="Arial" w:eastAsia="Arial" w:hAnsi="Arial"/>
          <w:color w:val="1A1A1A"/>
          <w:sz w:val="20"/>
          <w:szCs w:val="20"/>
        </w:rPr>
        <w:t xml:space="preserve">Full Risk Engine ↔ Reference Engine integration (INT-001 through INT-003 stubs only in Phase 3)</w:t>
      </w:r>
    </w:p>
    <w:p>
      <w:pPr>
        <w:pStyle w:val="ListParagraph"/>
        <w:numPr>
          <w:ilvl w:val="0"/>
          <w:numId w:val="2"/>
        </w:numPr>
        <w:spacing w:after="55" w:before="55"/>
      </w:pPr>
      <w:r>
        <w:rPr>
          <w:rFonts w:ascii="Arial" w:cs="Arial" w:eastAsia="Arial" w:hAnsi="Arial"/>
          <w:color w:val="1A1A1A"/>
          <w:sz w:val="20"/>
          <w:szCs w:val="20"/>
        </w:rPr>
        <w:t xml:space="preserve">CRP-009: OCR processing of image-heavy well log documents</w:t>
      </w:r>
    </w:p>
    <w:p>
      <w:pPr>
        <w:pStyle w:val="ListParagraph"/>
        <w:numPr>
          <w:ilvl w:val="0"/>
          <w:numId w:val="2"/>
        </w:numPr>
        <w:spacing w:after="55" w:before="55"/>
      </w:pPr>
      <w:r>
        <w:rPr>
          <w:rFonts w:ascii="Arial" w:cs="Arial" w:eastAsia="Arial" w:hAnsi="Arial"/>
          <w:color w:val="1A1A1A"/>
          <w:sz w:val="20"/>
          <w:szCs w:val="20"/>
        </w:rPr>
        <w:t xml:space="preserve">Multi-language corpus support</w:t>
      </w:r>
    </w:p>
    <w:p>
      <w:pPr>
        <w:pStyle w:val="ListParagraph"/>
        <w:numPr>
          <w:ilvl w:val="0"/>
          <w:numId w:val="2"/>
        </w:numPr>
        <w:spacing w:after="55" w:before="55"/>
      </w:pPr>
      <w:r>
        <w:rPr>
          <w:rFonts w:ascii="Arial" w:cs="Arial" w:eastAsia="Arial" w:hAnsi="Arial"/>
          <w:color w:val="1A1A1A"/>
          <w:sz w:val="20"/>
          <w:szCs w:val="20"/>
        </w:rPr>
        <w:t xml:space="preserve">Real-time streaming ingestion from high-velocity data sources</w:t>
      </w:r>
    </w:p>
    <w:p>
      <w:pPr>
        <w:pStyle w:val="Heading1"/>
        <w:spacing w:after="140" w:before="400"/>
      </w:pPr>
      <w:r>
        <w:rPr>
          <w:rFonts w:ascii="Arial" w:cs="Arial" w:eastAsia="Arial" w:hAnsi="Arial"/>
          <w:b/>
          <w:bCs/>
          <w:color w:val="1B3A6B"/>
          <w:sz w:val="34"/>
          <w:szCs w:val="34"/>
        </w:rPr>
        <w:t xml:space="preserve">11. System Acceptance Criteria</w:t>
      </w:r>
    </w:p>
    <w:p>
      <w:pPr>
        <w:spacing w:after="80" w:before="80"/>
      </w:pPr>
      <w:r>
        <w:rPr>
          <w:rFonts w:ascii="Arial" w:cs="Arial" w:eastAsia="Arial" w:hAnsi="Arial"/>
          <w:b w:val="false"/>
          <w:bCs w:val="false"/>
          <w:i w:val="false"/>
          <w:iCs w:val="false"/>
          <w:color w:val="1A1A1A"/>
          <w:sz w:val="20"/>
          <w:szCs w:val="20"/>
        </w:rPr>
        <w:t xml:space="preserve">The R&amp;I Reference Engine is accepted for production deployment when all of the following criteria are satisfied and signed off by MRB and Stan:</w:t>
      </w:r>
    </w:p>
    <w:p>
      <w:pPr>
        <w:pStyle w:val="ListParagraph"/>
        <w:numPr>
          <w:ilvl w:val="0"/>
          <w:numId w:val="3"/>
        </w:numPr>
        <w:spacing w:after="55" w:before="55"/>
      </w:pPr>
      <w:r>
        <w:rPr>
          <w:rFonts w:ascii="Arial" w:cs="Arial" w:eastAsia="Arial" w:hAnsi="Arial"/>
          <w:color w:val="1A1A1A"/>
          <w:sz w:val="20"/>
          <w:szCs w:val="20"/>
        </w:rPr>
        <w:t xml:space="preserve">All MUST-priority functional requirements (Section 4) verified by SE and confirmed by Ganlin/Ella UAT</w:t>
      </w:r>
    </w:p>
    <w:p>
      <w:pPr>
        <w:pStyle w:val="ListParagraph"/>
        <w:numPr>
          <w:ilvl w:val="0"/>
          <w:numId w:val="3"/>
        </w:numPr>
        <w:spacing w:after="55" w:before="55"/>
      </w:pPr>
      <w:r>
        <w:rPr>
          <w:rFonts w:ascii="Arial" w:cs="Arial" w:eastAsia="Arial" w:hAnsi="Arial"/>
          <w:color w:val="1A1A1A"/>
          <w:sz w:val="20"/>
          <w:szCs w:val="20"/>
        </w:rPr>
        <w:t xml:space="preserve">All MUST-priority non-functional requirements (Section 5) validated by load test and monitoring configuration review</w:t>
      </w:r>
    </w:p>
    <w:p>
      <w:pPr>
        <w:pStyle w:val="ListParagraph"/>
        <w:numPr>
          <w:ilvl w:val="0"/>
          <w:numId w:val="3"/>
        </w:numPr>
        <w:spacing w:after="55" w:before="55"/>
      </w:pPr>
      <w:r>
        <w:rPr>
          <w:rFonts w:ascii="Arial" w:cs="Arial" w:eastAsia="Arial" w:hAnsi="Arial"/>
          <w:color w:val="1A1A1A"/>
          <w:sz w:val="20"/>
          <w:szCs w:val="20"/>
        </w:rPr>
        <w:t xml:space="preserve">Corpus contains minimum 200 indexed documents with correct metadata across Tier 1 and Tier 2 sources covering Cotton Valley / East Texas basin domain</w:t>
      </w:r>
    </w:p>
    <w:p>
      <w:pPr>
        <w:pStyle w:val="ListParagraph"/>
        <w:numPr>
          <w:ilvl w:val="0"/>
          <w:numId w:val="3"/>
        </w:numPr>
        <w:spacing w:after="55" w:before="55"/>
      </w:pPr>
      <w:r>
        <w:rPr>
          <w:rFonts w:ascii="Arial" w:cs="Arial" w:eastAsia="Arial" w:hAnsi="Arial"/>
          <w:color w:val="1A1A1A"/>
          <w:sz w:val="20"/>
          <w:szCs w:val="20"/>
        </w:rPr>
        <w:t xml:space="preserve">Retrieval precision of 90% or higher on a standard R&amp;I query set of minimum 30 queries, validated during Phase 2 UAT</w:t>
      </w:r>
    </w:p>
    <w:p>
      <w:pPr>
        <w:pStyle w:val="ListParagraph"/>
        <w:numPr>
          <w:ilvl w:val="0"/>
          <w:numId w:val="3"/>
        </w:numPr>
        <w:spacing w:after="55" w:before="55"/>
      </w:pPr>
      <w:r>
        <w:rPr>
          <w:rFonts w:ascii="Arial" w:cs="Arial" w:eastAsia="Arial" w:hAnsi="Arial"/>
          <w:color w:val="1A1A1A"/>
          <w:sz w:val="20"/>
          <w:szCs w:val="20"/>
        </w:rPr>
        <w:t xml:space="preserve">Query-to-full-response latency under 5 seconds at p95 in load test simulating 10 concurrent users</w:t>
      </w:r>
    </w:p>
    <w:p>
      <w:pPr>
        <w:pStyle w:val="ListParagraph"/>
        <w:numPr>
          <w:ilvl w:val="0"/>
          <w:numId w:val="3"/>
        </w:numPr>
        <w:spacing w:after="55" w:before="55"/>
      </w:pPr>
      <w:r>
        <w:rPr>
          <w:rFonts w:ascii="Arial" w:cs="Arial" w:eastAsia="Arial" w:hAnsi="Arial"/>
          <w:color w:val="1A1A1A"/>
          <w:sz w:val="20"/>
          <w:szCs w:val="20"/>
        </w:rPr>
        <w:t xml:space="preserve">All synthesis outputs include correct source citations traceable to corpus documents — verified by spot audit of 20 random outputs</w:t>
      </w:r>
    </w:p>
    <w:p>
      <w:pPr>
        <w:pStyle w:val="ListParagraph"/>
        <w:numPr>
          <w:ilvl w:val="0"/>
          <w:numId w:val="3"/>
        </w:numPr>
        <w:spacing w:after="55" w:before="55"/>
      </w:pPr>
      <w:r>
        <w:rPr>
          <w:rFonts w:ascii="Arial" w:cs="Arial" w:eastAsia="Arial" w:hAnsi="Arial"/>
          <w:color w:val="1A1A1A"/>
          <w:sz w:val="20"/>
          <w:szCs w:val="20"/>
        </w:rPr>
        <w:t xml:space="preserve">Corpus Governance Protocol (Section 8) documented, reviewed by MRB, and operationally activated</w:t>
      </w:r>
    </w:p>
    <w:p>
      <w:pPr>
        <w:pStyle w:val="ListParagraph"/>
        <w:numPr>
          <w:ilvl w:val="0"/>
          <w:numId w:val="3"/>
        </w:numPr>
        <w:spacing w:after="55" w:before="55"/>
      </w:pPr>
      <w:r>
        <w:rPr>
          <w:rFonts w:ascii="Arial" w:cs="Arial" w:eastAsia="Arial" w:hAnsi="Arial"/>
          <w:color w:val="1A1A1A"/>
          <w:sz w:val="20"/>
          <w:szCs w:val="20"/>
        </w:rPr>
        <w:t xml:space="preserve">REST API /query and /compare endpoints tested and returning correct JSON responses against documented Interface Contract (INT-007)</w:t>
      </w:r>
    </w:p>
    <w:p>
      <w:pPr>
        <w:pStyle w:val="ListParagraph"/>
        <w:numPr>
          <w:ilvl w:val="0"/>
          <w:numId w:val="3"/>
        </w:numPr>
        <w:spacing w:after="55" w:before="55"/>
      </w:pPr>
      <w:r>
        <w:rPr>
          <w:rFonts w:ascii="Arial" w:cs="Arial" w:eastAsia="Arial" w:hAnsi="Arial"/>
          <w:color w:val="1A1A1A"/>
          <w:sz w:val="20"/>
          <w:szCs w:val="20"/>
        </w:rPr>
        <w:t xml:space="preserve">Audit logging (NFR-008) verified: 10 test interactions confirmed in interaction_log with complete provenance metadata</w:t>
      </w:r>
    </w:p>
    <w:p>
      <w:pPr>
        <w:pStyle w:val="ListParagraph"/>
        <w:numPr>
          <w:ilvl w:val="0"/>
          <w:numId w:val="3"/>
        </w:numPr>
        <w:spacing w:after="55" w:before="55"/>
      </w:pPr>
      <w:r>
        <w:rPr>
          <w:rFonts w:ascii="Arial" w:cs="Arial" w:eastAsia="Arial" w:hAnsi="Arial"/>
          <w:color w:val="1A1A1A"/>
          <w:sz w:val="20"/>
          <w:szCs w:val="20"/>
        </w:rPr>
        <w:t xml:space="preserve">Stan KT sign-off: Stan confirms infrastructure, monitoring, and corpus management operations are understood and transferable</w:t>
      </w:r>
    </w:p>
    <w:p>
      <w:r>
        <w:t xml:space="preserve"/>
      </w:r>
    </w:p>
    <w:p>
      <w:pPr>
        <w:pBdr>
          <w:bottom w:val="single" w:color="2E6DA4" w:sz="4" w:space="1"/>
        </w:pBdr>
        <w:spacing w:after="160" w:before="160"/>
      </w:pPr>
      <w:r>
        <w:t xml:space="preserve"/>
      </w:r>
    </w:p>
    <w:p>
      <w:pPr>
        <w:pStyle w:val="Heading1"/>
        <w:spacing w:after="140" w:before="400"/>
      </w:pPr>
      <w:r>
        <w:rPr>
          <w:rFonts w:ascii="Arial" w:cs="Arial" w:eastAsia="Arial" w:hAnsi="Arial"/>
          <w:b/>
          <w:bCs/>
          <w:color w:val="1B3A6B"/>
          <w:sz w:val="34"/>
          <w:szCs w:val="34"/>
        </w:rPr>
        <w:t xml:space="preserve">12. Document Approval</w:t>
      </w:r>
    </w:p>
    <w:p>
      <w:pPr>
        <w:spacing w:after="80" w:before="80"/>
      </w:pPr>
      <w:r>
        <w:rPr>
          <w:rFonts w:ascii="Arial" w:cs="Arial" w:eastAsia="Arial" w:hAnsi="Arial"/>
          <w:b w:val="false"/>
          <w:bCs w:val="false"/>
          <w:i w:val="false"/>
          <w:iCs w:val="false"/>
          <w:color w:val="1A1A1A"/>
          <w:sz w:val="20"/>
          <w:szCs w:val="20"/>
        </w:rPr>
        <w:t xml:space="preserve">This TRD requires review and approval by MRB before Phase 1 activities commence. Technical review by Stan is required prior to MRB approval. All reviewers must sign below.</w:t>
      </w:r>
    </w:p>
    <w:p>
      <w:r>
        <w:t xml:space="preserve"/>
      </w:r>
    </w:p>
    <w:p>
      <w:r>
        <w:t xml:space="preserve"/>
      </w:r>
    </w:p>
    <w:p>
      <w:pPr>
        <w:spacing w:after="80" w:before="80"/>
      </w:pPr>
      <w:r>
        <w:rPr>
          <w:rFonts w:ascii="Arial" w:cs="Arial" w:eastAsia="Arial" w:hAnsi="Arial"/>
          <w:b w:val="false"/>
          <w:bCs w:val="false"/>
          <w:i w:val="false"/>
          <w:iCs w:val="false"/>
          <w:color w:val="1A1A1A"/>
          <w:sz w:val="20"/>
          <w:szCs w:val="20"/>
        </w:rPr>
        <w:t xml:space="preserve">Technical Review — Stan Hua, Senior Technology Advisor:</w:t>
      </w:r>
    </w:p>
    <w:p>
      <w:r>
        <w:t xml:space="preserve"/>
      </w:r>
    </w:p>
    <w:p>
      <w:pPr>
        <w:pBdr>
          <w:bottom w:val="single" w:color="2E6DA4" w:sz="4" w:space="1"/>
        </w:pBdr>
        <w:spacing w:after="160" w:before="160"/>
      </w:pPr>
      <w:r>
        <w:t xml:space="preserve"/>
      </w:r>
    </w:p>
    <w:p>
      <w:pPr>
        <w:spacing w:after="120" w:before="20"/>
      </w:pPr>
      <w:r>
        <w:rPr>
          <w:rFonts w:ascii="Arial" w:cs="Arial" w:eastAsia="Arial" w:hAnsi="Arial"/>
          <w:i/>
          <w:iCs/>
          <w:color w:val="6B7280"/>
          <w:sz w:val="18"/>
          <w:szCs w:val="18"/>
        </w:rPr>
        <w:t xml:space="preserve">Signature  |  Date</w:t>
      </w:r>
    </w:p>
    <w:p>
      <w:pPr>
        <w:spacing w:after="80" w:before="80"/>
      </w:pPr>
      <w:r>
        <w:rPr>
          <w:rFonts w:ascii="Arial" w:cs="Arial" w:eastAsia="Arial" w:hAnsi="Arial"/>
          <w:b w:val="false"/>
          <w:bCs w:val="false"/>
          <w:i w:val="false"/>
          <w:iCs w:val="false"/>
          <w:color w:val="1A1A1A"/>
          <w:sz w:val="20"/>
          <w:szCs w:val="20"/>
        </w:rPr>
        <w:t xml:space="preserve">Approval — MRB, Principal, 2678 Holdings LLC:</w:t>
      </w:r>
    </w:p>
    <w:p>
      <w:r>
        <w:t xml:space="preserve"/>
      </w:r>
    </w:p>
    <w:p>
      <w:pPr>
        <w:pBdr>
          <w:bottom w:val="single" w:color="2E6DA4" w:sz="4" w:space="1"/>
        </w:pBdr>
        <w:spacing w:after="160" w:before="160"/>
      </w:pPr>
      <w:r>
        <w:t xml:space="preserve"/>
      </w:r>
    </w:p>
    <w:p>
      <w:pPr>
        <w:spacing w:after="120" w:before="20"/>
      </w:pPr>
      <w:r>
        <w:rPr>
          <w:rFonts w:ascii="Arial" w:cs="Arial" w:eastAsia="Arial" w:hAnsi="Arial"/>
          <w:i/>
          <w:iCs/>
          <w:color w:val="6B7280"/>
          <w:sz w:val="18"/>
          <w:szCs w:val="18"/>
        </w:rPr>
        <w:t xml:space="preserve">Signature  |  Date</w:t>
      </w:r>
    </w:p>
    <w:p>
      <w:r>
        <w:t xml:space="preserve"/>
      </w:r>
    </w:p>
    <w:p>
      <w:r>
        <w:t xml:space="preserve"/>
      </w:r>
    </w:p>
    <w:p>
      <w:pPr>
        <w:spacing w:after="80" w:before="80"/>
      </w:pPr>
      <w:r>
        <w:rPr>
          <w:rFonts w:ascii="Arial" w:cs="Arial" w:eastAsia="Arial" w:hAnsi="Arial"/>
          <w:b/>
          <w:bCs/>
          <w:i w:val="false"/>
          <w:iCs w:val="false"/>
          <w:color w:val="1A1A1A"/>
          <w:sz w:val="20"/>
          <w:szCs w:val="20"/>
        </w:rPr>
        <w:t xml:space="preserve">MRB</w:t>
      </w:r>
    </w:p>
    <w:p>
      <w:pPr>
        <w:spacing w:after="80" w:before="80"/>
      </w:pPr>
      <w:r>
        <w:rPr>
          <w:rFonts w:ascii="Arial" w:cs="Arial" w:eastAsia="Arial" w:hAnsi="Arial"/>
          <w:b w:val="false"/>
          <w:bCs w:val="false"/>
          <w:i w:val="false"/>
          <w:iCs w:val="false"/>
          <w:color w:val="1A1A1A"/>
          <w:sz w:val="20"/>
          <w:szCs w:val="20"/>
        </w:rPr>
        <w:t xml:space="preserve">TokenCap Advisors LLC  |  A 2678 Holdings LLC Company</w:t>
      </w:r>
    </w:p>
    <w:p>
      <w:pPr>
        <w:spacing w:after="80" w:before="80"/>
      </w:pPr>
      <w:r>
        <w:rPr>
          <w:rFonts w:ascii="Arial" w:cs="Arial" w:eastAsia="Arial" w:hAnsi="Arial"/>
          <w:b w:val="false"/>
          <w:bCs w:val="false"/>
          <w:i/>
          <w:iCs/>
          <w:color w:val="1A1A1A"/>
          <w:sz w:val="20"/>
          <w:szCs w:val="20"/>
        </w:rPr>
        <w:t xml:space="preserve">TCA-TRD-2026-RI-001  |  May 2026  |  CONFIDENTIAL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2" w:space="2"/>
      </w:pBdr>
      <w:tabs>
        <w:tab w:val="right" w:pos="9026"/>
      </w:tabs>
    </w:pPr>
    <w:r>
      <w:rPr>
        <w:rFonts w:ascii="Arial" w:cs="Arial" w:eastAsia="Arial" w:hAnsi="Arial"/>
        <w:color w:val="6B7280"/>
        <w:sz w:val="16"/>
        <w:szCs w:val="16"/>
      </w:rPr>
      <w:t xml:space="preserve">TCA-TRD-2026-RI-001  |  CONFIDENTIAL  |  TokenCap Advisors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B3A6B"/>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2026-05-20T19:22:54.901Z</dcterms:created>
  <dcterms:modified xsi:type="dcterms:W3CDTF">2026-05-20T19:22:54.915Z</dcterms:modified>
</cp:coreProperties>
</file>

<file path=docProps/custom.xml><?xml version="1.0" encoding="utf-8"?>
<Properties xmlns="http://schemas.openxmlformats.org/officeDocument/2006/custom-properties" xmlns:vt="http://schemas.openxmlformats.org/officeDocument/2006/docPropsVTypes"/>
</file>