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4C8C" w14:paraId="643990C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9CD4E16" w14:textId="77777777" w:rsidR="00194C8C" w:rsidRDefault="00000000">
            <w:r>
              <w:rPr>
                <w:b/>
                <w:bCs/>
                <w:color w:val="FFFFFF"/>
                <w:sz w:val="24"/>
                <w:szCs w:val="24"/>
              </w:rPr>
              <w:t>TOKENCAP ADVISORS LLC</w:t>
            </w:r>
            <w:r>
              <w:rPr>
                <w:color w:val="FFFFFF"/>
              </w:rPr>
              <w:t xml:space="preserve">    EXECUTIVE </w:t>
            </w:r>
            <w:proofErr w:type="gramStart"/>
            <w:r>
              <w:rPr>
                <w:color w:val="FFFFFF"/>
              </w:rPr>
              <w:t>MEMORANDUM  —</w:t>
            </w:r>
            <w:proofErr w:type="gramEnd"/>
            <w:r>
              <w:rPr>
                <w:color w:val="FFFFFF"/>
              </w:rPr>
              <w:t xml:space="preserve">  PRIVILEGED &amp; CONFIDENTIAL</w:t>
            </w:r>
          </w:p>
        </w:tc>
      </w:tr>
    </w:tbl>
    <w:p w14:paraId="0F7547D8" w14:textId="77777777" w:rsidR="00194C8C" w:rsidRDefault="00194C8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1"/>
        <w:gridCol w:w="7539"/>
      </w:tblGrid>
      <w:tr w:rsidR="00194C8C" w14:paraId="3120A9E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51D980" w14:textId="77777777" w:rsidR="00194C8C" w:rsidRDefault="00000000">
            <w:r>
              <w:rPr>
                <w:b/>
                <w:bCs/>
              </w:rPr>
              <w:t>TO:</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11C789" w14:textId="77777777" w:rsidR="00194C8C" w:rsidRDefault="00000000">
            <w:r>
              <w:t>Principal — TokenCap Advisors LLC; Stan Hua, Senior Technology Advisor</w:t>
            </w:r>
          </w:p>
        </w:tc>
      </w:tr>
      <w:tr w:rsidR="00194C8C" w14:paraId="7083335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233300" w14:textId="77777777" w:rsidR="00194C8C" w:rsidRDefault="00000000">
            <w:r>
              <w:rPr>
                <w:b/>
                <w:bCs/>
              </w:rPr>
              <w:t>FROM:</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685B4B" w14:textId="77777777" w:rsidR="00194C8C" w:rsidRDefault="00000000">
            <w:r>
              <w:t>Technology &amp; Strategic Planning Function</w:t>
            </w:r>
          </w:p>
        </w:tc>
      </w:tr>
      <w:tr w:rsidR="00194C8C" w14:paraId="32667DD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55B4C5" w14:textId="77777777" w:rsidR="00194C8C" w:rsidRDefault="00000000">
            <w:r>
              <w:rPr>
                <w:b/>
                <w:bCs/>
              </w:rPr>
              <w:t>DATE:</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4E8DF" w14:textId="77777777" w:rsidR="00194C8C" w:rsidRDefault="00000000">
            <w:r>
              <w:t>May 27, 2026</w:t>
            </w:r>
          </w:p>
        </w:tc>
      </w:tr>
      <w:tr w:rsidR="00194C8C" w14:paraId="2C47A34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F772BC" w14:textId="77777777" w:rsidR="00194C8C" w:rsidRDefault="00000000">
            <w:r>
              <w:rPr>
                <w:b/>
                <w:bCs/>
              </w:rPr>
              <w:t>SUBJECT:</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F95BE8" w14:textId="77777777" w:rsidR="00194C8C" w:rsidRDefault="00000000">
            <w:r>
              <w:t>Client Intake &amp; Onboarding Forms — Design, Build, Test, and Deployment Plan for the TCA Website</w:t>
            </w:r>
          </w:p>
        </w:tc>
      </w:tr>
      <w:tr w:rsidR="00194C8C" w14:paraId="2753CAA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350C0E0" w14:textId="77777777" w:rsidR="00194C8C" w:rsidRDefault="00000000">
            <w:r>
              <w:rPr>
                <w:b/>
                <w:bCs/>
              </w:rPr>
              <w:t>DOC ID:</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042D89" w14:textId="77777777" w:rsidR="00194C8C" w:rsidRDefault="00000000">
            <w:r>
              <w:t>TCA-MEMO-2026-INTAKE-001 (Rev. 0 — Draft for Principal Review)</w:t>
            </w:r>
          </w:p>
        </w:tc>
      </w:tr>
      <w:tr w:rsidR="00194C8C" w14:paraId="64F8CC0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91E8AB" w14:textId="77777777" w:rsidR="00194C8C" w:rsidRDefault="00000000">
            <w:r>
              <w:rPr>
                <w:b/>
                <w:bCs/>
              </w:rPr>
              <w:t>CLASSIFICATION:</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97C1F5" w14:textId="77777777" w:rsidR="00194C8C" w:rsidRDefault="00000000">
            <w:r>
              <w:t>Privileged &amp; Confidential — Internal Use Only</w:t>
            </w:r>
          </w:p>
        </w:tc>
      </w:tr>
      <w:tr w:rsidR="00194C8C" w14:paraId="0D90765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B8752C" w14:textId="77777777" w:rsidR="00194C8C" w:rsidRDefault="00000000">
            <w:r>
              <w:rPr>
                <w:b/>
                <w:bCs/>
              </w:rPr>
              <w:t>REF:</w:t>
            </w:r>
          </w:p>
        </w:tc>
        <w:tc>
          <w:tcPr>
            <w:tcW w:w="7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73F526" w14:textId="77777777" w:rsidR="00194C8C" w:rsidRDefault="00000000">
            <w:r>
              <w:t>TCA Technology Strategy Memo (March 19, 2025); TCA-MEMO-2026-RSK-SUMMARY-001 (Risk Engine); TCA-MEMO-2026-RI-SUMMARY-001 (R&amp;I Reference Engine); SEC Rule 204-2; SEC Rule 206(4)-7; SEC Rule 206(4)-9; FinCEN Customer Identification Program (CIP) requirements; OFAC Sanctions Screening; FINRA Rule 4511</w:t>
            </w:r>
          </w:p>
        </w:tc>
      </w:tr>
    </w:tbl>
    <w:p w14:paraId="7A17CE26" w14:textId="77777777" w:rsidR="00194C8C" w:rsidRDefault="00194C8C">
      <w:pPr>
        <w:spacing w:after="80"/>
      </w:pPr>
    </w:p>
    <w:p w14:paraId="7E4C8801" w14:textId="77777777" w:rsidR="00194C8C" w:rsidRDefault="00000000">
      <w:pPr>
        <w:pStyle w:val="Heading1"/>
      </w:pPr>
      <w:r>
        <w:t>1</w:t>
      </w:r>
      <w:proofErr w:type="gramStart"/>
      <w:r>
        <w:t>.  Purpose</w:t>
      </w:r>
      <w:proofErr w:type="gramEnd"/>
      <w:r>
        <w:t xml:space="preserve"> and Scope of This Memorandum</w:t>
      </w:r>
    </w:p>
    <w:p w14:paraId="590A8679" w14:textId="77777777" w:rsidR="00194C8C" w:rsidRDefault="00000000">
      <w:pPr>
        <w:spacing w:after="120" w:line="300" w:lineRule="auto"/>
      </w:pPr>
      <w:r>
        <w:t xml:space="preserve">This memorandum sets out a comprehensive plan for the design, construction, testing, and deployment of web-based Client Intake &amp; Onboarding forms to be incorporated into the TCA website. The forms are the digital front door through which a prospective customer — an entity or </w:t>
      </w:r>
      <w:proofErr w:type="gramStart"/>
      <w:r>
        <w:t>individual that</w:t>
      </w:r>
      <w:proofErr w:type="gramEnd"/>
      <w:r>
        <w:t xml:space="preserve"> wishes to engage TCA for advisory services and pay TCA for those services — applies to become a TCA Client.</w:t>
      </w:r>
    </w:p>
    <w:p w14:paraId="03D5B065" w14:textId="77777777" w:rsidR="00194C8C" w:rsidRDefault="00000000">
      <w:pPr>
        <w:spacing w:after="120" w:line="300" w:lineRule="auto"/>
      </w:pPr>
      <w:r>
        <w:t>The intake mechanism serves three distinct but interlocking objectives. First, it captures the information TCA requires to perform Know-Your-Customer (KYC) and Anti-Money-Laundering (AML) screening at the standard expected of an Exempt or fully Registered Investment Adviser under the Investment Advisers Act of 1940. Second, it captures the engagement-scoping information TCA needs to determine which of its operational engines and service tiers the prospective Client will consume — Risk Engine assessments, R&amp;I Reference Engine queries, Viability Opinion Reports, ongoing advisory engagements, or some combination. Third, it produces the auditable record on which TCA's onboarding decision (accept, decline, conditional accept) will rest, satisfying SEC Rule 204-2 books-and-records obligations from the moment the prospective Client first interacts with TCA.</w:t>
      </w:r>
    </w:p>
    <w:p w14:paraId="37DCBD67" w14:textId="77777777" w:rsidR="00194C8C" w:rsidRDefault="00000000">
      <w:pPr>
        <w:spacing w:after="120" w:line="300" w:lineRule="auto"/>
      </w:pPr>
      <w:r>
        <w:t xml:space="preserve">This memorandum is intended as a buildable specification. The </w:t>
      </w:r>
      <w:proofErr w:type="gramStart"/>
      <w:r>
        <w:t>Principal</w:t>
      </w:r>
      <w:proofErr w:type="gramEnd"/>
      <w:r>
        <w:t xml:space="preserve"> will act as product owner; Claude (Anthropic) will serve as primary builder under the 2678 Holdings build model; a Senior Systems Engineer will be engaged for infrastructure, security configuration, and pre-production review consistent with the model used for the Risk Engine and the R&amp;I Reference Engine.</w:t>
      </w:r>
    </w:p>
    <w:p w14:paraId="2A5AE06D" w14:textId="441833F3" w:rsidR="00194C8C" w:rsidRDefault="00000000">
      <w:pPr>
        <w:spacing w:after="120" w:line="300" w:lineRule="auto"/>
      </w:pPr>
      <w:r>
        <w:t>Two governing principles run through every section that follows: (</w:t>
      </w:r>
      <w:proofErr w:type="spellStart"/>
      <w:r>
        <w:t>i</w:t>
      </w:r>
      <w:proofErr w:type="spellEnd"/>
      <w:r>
        <w:t xml:space="preserve">) the intake form is a regulatory record from the moment it is submitted, and must be architected as such — not retrofitted; and (ii) the </w:t>
      </w:r>
      <w:proofErr w:type="gramStart"/>
      <w:r>
        <w:lastRenderedPageBreak/>
        <w:t>intake</w:t>
      </w:r>
      <w:proofErr w:type="gramEnd"/>
      <w:r>
        <w:t xml:space="preserve"> form is the seam between the public-facing site and TCA's internal operational systems, and that seam must be designed so that hostile or malformed input cannot reach the internal environment without passing through documented controls.</w:t>
      </w:r>
    </w:p>
    <w:p w14:paraId="7B607E6D" w14:textId="77777777" w:rsidR="00194C8C" w:rsidRDefault="00000000">
      <w:pPr>
        <w:pStyle w:val="Heading1"/>
      </w:pPr>
      <w:r>
        <w:t>2</w:t>
      </w:r>
      <w:proofErr w:type="gramStart"/>
      <w:r>
        <w:t>.  What</w:t>
      </w:r>
      <w:proofErr w:type="gramEnd"/>
      <w:r>
        <w:t xml:space="preserve"> the Intake System Is — and What It Is Not</w:t>
      </w:r>
    </w:p>
    <w:p w14:paraId="3FDF0AB7" w14:textId="77777777" w:rsidR="00194C8C" w:rsidRDefault="00000000">
      <w:pPr>
        <w:spacing w:after="120" w:line="300" w:lineRule="auto"/>
      </w:pPr>
      <w:r>
        <w:t>The Client Intake &amp; Onboarding system is a multi-stage web application accessible from the public TCA website but architecturally distinct from it. A prospective Client lands on a marketing page, is invited to apply for engagement, and is routed into a structured, multi-step form that captures identity, beneficial ownership, regulatory standing, engagement scope, and consent. On submission, the application creates a Client Application Record (CAR) inside TCA's onboarding database, generates a unique application ID, triggers automated screening jobs, and routes the record into the internal compliance review queue.</w:t>
      </w:r>
    </w:p>
    <w:p w14:paraId="6AAAF6B4" w14:textId="77777777" w:rsidR="00194C8C" w:rsidRDefault="00000000">
      <w:pPr>
        <w:spacing w:after="120" w:line="300" w:lineRule="auto"/>
      </w:pPr>
      <w:r>
        <w:t xml:space="preserve">It is important to be precise about what this system is not. The intake forms are not the Risk Engine and not the R&amp;I Reference Engine. Those systems evaluate projects and produce advisory work </w:t>
      </w:r>
      <w:proofErr w:type="gramStart"/>
      <w:r>
        <w:t>product</w:t>
      </w:r>
      <w:proofErr w:type="gramEnd"/>
      <w:r>
        <w:t>. The intake forms onboard the customer who will pay TCA to perform those evaluations. The intake system sits upstream of every internal engine and supplies the Client identity that the internal engines reference. It is also not a client portal: read-only access to TCA work product, document download, billing history, and ongoing communications belong to a separate Client Portal application contemplated in Phase 3 of the Technology Strategy roadmap. The intake system is the one-time application and onboarding workflow; the portal is the recurring relationship workflow.</w:t>
      </w:r>
    </w:p>
    <w:p w14:paraId="3BC74AA2" w14:textId="77777777" w:rsidR="00194C8C" w:rsidRDefault="00000000">
      <w:pPr>
        <w:spacing w:after="120" w:line="300" w:lineRule="auto"/>
      </w:pPr>
      <w:r>
        <w:t>The intake system has three audiences: (</w:t>
      </w:r>
      <w:proofErr w:type="spellStart"/>
      <w:r>
        <w:t>i</w:t>
      </w:r>
      <w:proofErr w:type="spellEnd"/>
      <w:r>
        <w:t>) the prospective Client filling out the form; (ii) the TCA Compliance and Operations staff who review submissions; and (iii) the regulator who, on examination, will ask to see the onboarding record. The third audience is the one that most shapes the design, because the regulator's expectations are the strictest and they apply retroactively to every submission in the system.</w:t>
      </w:r>
    </w:p>
    <w:p w14:paraId="6786EA43" w14:textId="77777777" w:rsidR="00194C8C" w:rsidRDefault="00000000">
      <w:pPr>
        <w:pStyle w:val="Heading1"/>
      </w:pPr>
      <w:r>
        <w:t>3.  Information Architecture — What the Forms Must Capture</w:t>
      </w:r>
    </w:p>
    <w:p w14:paraId="3DD5FC22" w14:textId="77777777" w:rsidR="00194C8C" w:rsidRDefault="00000000">
      <w:pPr>
        <w:spacing w:after="120" w:line="300" w:lineRule="auto"/>
      </w:pPr>
      <w:r>
        <w:t>The information collected by the intake forms falls into four logical groups, sequenced from broad-and-light to narrow-and-heavy. The grouping is deliberate: it allows TCA to qualify out unsuitable applicants early, before requesting sensitive information, and it gives the prospective Client a clean progress arc rather than a single intimidating questionnaire.</w:t>
      </w:r>
    </w:p>
    <w:p w14:paraId="55367E7D" w14:textId="77777777" w:rsidR="00194C8C" w:rsidRDefault="00000000">
      <w:pPr>
        <w:pStyle w:val="Heading2"/>
      </w:pPr>
      <w:proofErr w:type="gramStart"/>
      <w:r>
        <w:t>3.1  Group</w:t>
      </w:r>
      <w:proofErr w:type="gramEnd"/>
      <w:r>
        <w:t xml:space="preserve"> A — Identification &amp; Entity Profile</w:t>
      </w:r>
    </w:p>
    <w:p w14:paraId="269F6EF5" w14:textId="77777777" w:rsidR="00194C8C" w:rsidRDefault="00000000">
      <w:pPr>
        <w:spacing w:after="120" w:line="300" w:lineRule="auto"/>
      </w:pPr>
      <w:r>
        <w:t>This group establishes who the applicant is, in a form that supports KYC verification. The information captured here is the minimum required for TCA to determine whether the applicant is a natural person, a legal entity, or a fund or trust, and to route the application to the appropriate downstream onboarding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60"/>
        <w:gridCol w:w="2000"/>
      </w:tblGrid>
      <w:tr w:rsidR="00194C8C" w14:paraId="1D61D01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D7075E9" w14:textId="77777777" w:rsidR="00194C8C" w:rsidRDefault="00000000">
            <w:r>
              <w:rPr>
                <w:b/>
                <w:bCs/>
              </w:rPr>
              <w:lastRenderedPageBreak/>
              <w:t>Field</w:t>
            </w:r>
          </w:p>
        </w:tc>
        <w:tc>
          <w:tcPr>
            <w:tcW w:w="47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E683B5E" w14:textId="77777777" w:rsidR="00194C8C" w:rsidRDefault="00000000">
            <w:r>
              <w:rPr>
                <w:b/>
                <w:bCs/>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FBA692E" w14:textId="77777777" w:rsidR="00194C8C" w:rsidRDefault="00000000">
            <w:r>
              <w:rPr>
                <w:b/>
                <w:bCs/>
              </w:rPr>
              <w:t>Required</w:t>
            </w:r>
          </w:p>
        </w:tc>
      </w:tr>
      <w:tr w:rsidR="00194C8C" w14:paraId="349213E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780B85" w14:textId="77777777" w:rsidR="00194C8C" w:rsidRDefault="00000000">
            <w:r>
              <w:t>Applicant Type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EC402" w14:textId="77777777" w:rsidR="00194C8C" w:rsidRDefault="00000000">
            <w:r>
              <w:t>Natural Person / Legal Entity / Fund or Trust / Other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9260A3" w14:textId="77777777" w:rsidR="00194C8C" w:rsidRDefault="00000000">
            <w:r>
              <w:t>Yes</w:t>
            </w:r>
          </w:p>
        </w:tc>
      </w:tr>
      <w:tr w:rsidR="00194C8C" w14:paraId="714574A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1136DD" w14:textId="77777777" w:rsidR="00194C8C" w:rsidRDefault="00000000">
            <w:r>
              <w:t>Legal Name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2A8DC" w14:textId="77777777" w:rsidR="00194C8C" w:rsidRDefault="00000000">
            <w:r>
              <w:t>Full legal name as registered with primary regulator or state of formation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C4BAF8" w14:textId="77777777" w:rsidR="00194C8C" w:rsidRDefault="00000000">
            <w:r>
              <w:t>Yes</w:t>
            </w:r>
          </w:p>
        </w:tc>
      </w:tr>
      <w:tr w:rsidR="00194C8C" w14:paraId="146E2BE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97CEC" w14:textId="77777777" w:rsidR="00194C8C" w:rsidRDefault="00000000">
            <w:r>
              <w:t>Trade / DBA Name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A1138" w14:textId="77777777" w:rsidR="00194C8C" w:rsidRDefault="00000000">
            <w:r>
              <w:t>Operating name if different from legal name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5386FA" w14:textId="77777777" w:rsidR="00194C8C" w:rsidRDefault="00000000">
            <w:r>
              <w:t>Conditional</w:t>
            </w:r>
          </w:p>
        </w:tc>
      </w:tr>
      <w:tr w:rsidR="00194C8C" w14:paraId="37FFA8B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979D07" w14:textId="77777777" w:rsidR="00194C8C" w:rsidRDefault="00000000">
            <w:r>
              <w:t>Jurisdiction of Formation</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FFA66" w14:textId="77777777" w:rsidR="00194C8C" w:rsidRDefault="00000000">
            <w:r>
              <w:t>State and country of incorporation/formation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5E143" w14:textId="77777777" w:rsidR="00194C8C" w:rsidRDefault="00000000">
            <w:r>
              <w:t>Yes (entities)</w:t>
            </w:r>
          </w:p>
        </w:tc>
      </w:tr>
      <w:tr w:rsidR="00194C8C" w14:paraId="5C155F8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98652" w14:textId="77777777" w:rsidR="00194C8C" w:rsidRDefault="00000000">
            <w:r>
              <w:t>Entity Type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A2D6F3" w14:textId="77777777" w:rsidR="00194C8C" w:rsidRDefault="00000000">
            <w:r>
              <w:t>LLC / LP / LLP / C-Corp / S-Corp / Trust / Fund / Other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CF5FA" w14:textId="77777777" w:rsidR="00194C8C" w:rsidRDefault="00000000">
            <w:r>
              <w:t>Yes (entities)</w:t>
            </w:r>
          </w:p>
        </w:tc>
      </w:tr>
      <w:tr w:rsidR="00194C8C" w14:paraId="0D729BF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FE5A24" w14:textId="77777777" w:rsidR="00194C8C" w:rsidRDefault="00000000">
            <w:r>
              <w:t>Date of Formation</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4F556" w14:textId="77777777" w:rsidR="00194C8C" w:rsidRDefault="00000000">
            <w:r>
              <w:t xml:space="preserve">Entity formation date or, for natural </w:t>
            </w:r>
            <w:proofErr w:type="gramStart"/>
            <w:r>
              <w:t>persons</w:t>
            </w:r>
            <w:proofErr w:type="gramEnd"/>
            <w:r>
              <w:t>, date of birth (captured separately under PII controls)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4D169" w14:textId="77777777" w:rsidR="00194C8C" w:rsidRDefault="00000000">
            <w:r>
              <w:t>Yes</w:t>
            </w:r>
          </w:p>
        </w:tc>
      </w:tr>
      <w:tr w:rsidR="00194C8C" w14:paraId="4A3CD3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D50428" w14:textId="77777777" w:rsidR="00194C8C" w:rsidRDefault="00000000">
            <w:r>
              <w:t>EIN / Tax ID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D2E54" w14:textId="77777777" w:rsidR="00194C8C" w:rsidRDefault="00000000">
            <w:r>
              <w:t>U.S. Employer Identification Number or foreign equivalent (captured as PII, encrypted at rest)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6FE0C" w14:textId="77777777" w:rsidR="00194C8C" w:rsidRDefault="00000000">
            <w:r>
              <w:t>Yes</w:t>
            </w:r>
          </w:p>
        </w:tc>
      </w:tr>
      <w:tr w:rsidR="00194C8C" w14:paraId="709B07A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968C4C" w14:textId="77777777" w:rsidR="00194C8C" w:rsidRDefault="00000000">
            <w:r>
              <w:t>Principal Office Address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91048C" w14:textId="77777777" w:rsidR="00194C8C" w:rsidRDefault="00000000">
            <w:r>
              <w:t>Physical street address; PO Boxes flagged for compliance review</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682689" w14:textId="77777777" w:rsidR="00194C8C" w:rsidRDefault="00000000">
            <w:r>
              <w:t>Yes</w:t>
            </w:r>
          </w:p>
        </w:tc>
      </w:tr>
      <w:tr w:rsidR="00194C8C" w14:paraId="523E85D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22A48" w14:textId="77777777" w:rsidR="00194C8C" w:rsidRDefault="00000000">
            <w:r>
              <w:t>Mailing Address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CB9A3" w14:textId="77777777" w:rsidR="00194C8C" w:rsidRDefault="00000000">
            <w:r>
              <w:t>If different from principal office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8A85DE" w14:textId="77777777" w:rsidR="00194C8C" w:rsidRDefault="00000000">
            <w:r>
              <w:t>Conditional</w:t>
            </w:r>
          </w:p>
        </w:tc>
      </w:tr>
      <w:tr w:rsidR="00194C8C" w14:paraId="04CFA2F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0799E" w14:textId="77777777" w:rsidR="00194C8C" w:rsidRDefault="00000000">
            <w:r>
              <w:t>Primary Contact</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66824E" w14:textId="77777777" w:rsidR="00194C8C" w:rsidRDefault="00000000">
            <w:r>
              <w:t>Name, title, email, direct phone of the individual authorized to submit the application on the entity's behalf</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1D75B" w14:textId="77777777" w:rsidR="00194C8C" w:rsidRDefault="00000000">
            <w:r>
              <w:t>Yes</w:t>
            </w:r>
          </w:p>
        </w:tc>
      </w:tr>
      <w:tr w:rsidR="00194C8C" w14:paraId="68A95E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C9116" w14:textId="77777777" w:rsidR="00194C8C" w:rsidRDefault="00000000">
            <w:r>
              <w:t>Website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46D646" w14:textId="77777777" w:rsidR="00194C8C" w:rsidRDefault="00000000">
            <w:r>
              <w:t>Public website of the entity, if any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74119" w14:textId="77777777" w:rsidR="00194C8C" w:rsidRDefault="00000000">
            <w:r>
              <w:t>No</w:t>
            </w:r>
          </w:p>
        </w:tc>
      </w:tr>
      <w:tr w:rsidR="00194C8C" w14:paraId="5EBA865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8B2B2A" w14:textId="77777777" w:rsidR="00194C8C" w:rsidRDefault="00000000">
            <w:r>
              <w:t>Industry / Sector</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03B470" w14:textId="77777777" w:rsidR="00194C8C" w:rsidRDefault="00000000">
            <w:r>
              <w:t>E&amp;P / Renewables / Real Estate / Technology / Financial / Other — controls which TCA engines the engagement will exercise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2DFFC8" w14:textId="77777777" w:rsidR="00194C8C" w:rsidRDefault="00000000">
            <w:r>
              <w:t>Yes</w:t>
            </w:r>
          </w:p>
        </w:tc>
      </w:tr>
    </w:tbl>
    <w:p w14:paraId="34C11DB6" w14:textId="77777777" w:rsidR="00194C8C" w:rsidRDefault="00000000">
      <w:pPr>
        <w:pStyle w:val="Heading2"/>
      </w:pPr>
      <w:proofErr w:type="gramStart"/>
      <w:r>
        <w:t>3.2  Group</w:t>
      </w:r>
      <w:proofErr w:type="gramEnd"/>
      <w:r>
        <w:t xml:space="preserve"> B — Regulatory &amp; AML Profile</w:t>
      </w:r>
    </w:p>
    <w:p w14:paraId="6F9DA1FC" w14:textId="77777777" w:rsidR="00194C8C" w:rsidRDefault="00000000">
      <w:pPr>
        <w:spacing w:after="120" w:line="300" w:lineRule="auto"/>
      </w:pPr>
      <w:r>
        <w:t>This group captures the information TCA needs to discharge its Customer Identification Program (CIP) and AML screening obligations. Although TCA is not a bank or broker-dealer subject to the Bank Secrecy Act in the same way, it is a sound and increasingly expected practice for investment advisers to apply CIP-equivalent screening to all paying Clients. The SEC's proposed AML rule for investment advisers (Rule 206(4)-13 proposed series) and FinCEN's 2024 final rule extending AML/CFT program requirements to certain investment advisers make this group a forward-compliance baseline rather than an optional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60"/>
        <w:gridCol w:w="2000"/>
      </w:tblGrid>
      <w:tr w:rsidR="00194C8C" w14:paraId="45FDFE4B"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D5C3CB5" w14:textId="77777777" w:rsidR="00194C8C" w:rsidRDefault="00000000">
            <w:r>
              <w:rPr>
                <w:b/>
                <w:bCs/>
              </w:rPr>
              <w:lastRenderedPageBreak/>
              <w:t>Field</w:t>
            </w:r>
          </w:p>
        </w:tc>
        <w:tc>
          <w:tcPr>
            <w:tcW w:w="47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6919E7B" w14:textId="77777777" w:rsidR="00194C8C" w:rsidRDefault="00000000">
            <w:r>
              <w:rPr>
                <w:b/>
                <w:bCs/>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B79AD66" w14:textId="77777777" w:rsidR="00194C8C" w:rsidRDefault="00000000">
            <w:r>
              <w:rPr>
                <w:b/>
                <w:bCs/>
              </w:rPr>
              <w:t>Required</w:t>
            </w:r>
          </w:p>
        </w:tc>
      </w:tr>
      <w:tr w:rsidR="00194C8C" w14:paraId="304303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14DBA" w14:textId="77777777" w:rsidR="00194C8C" w:rsidRDefault="00000000">
            <w:r>
              <w:t>Beneficial Owners (25%+)</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DFA12C" w14:textId="77777777" w:rsidR="00194C8C" w:rsidRDefault="00000000">
            <w:r>
              <w:t>Name, DOB, address, ownership %, citizenship for each owner of 25% or more, per FinCEN CDD Rule. Up to 4 owners + control person.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7158F" w14:textId="77777777" w:rsidR="00194C8C" w:rsidRDefault="00000000">
            <w:r>
              <w:t>Yes (entities)</w:t>
            </w:r>
          </w:p>
        </w:tc>
      </w:tr>
      <w:tr w:rsidR="00194C8C" w14:paraId="188920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8B104" w14:textId="77777777" w:rsidR="00194C8C" w:rsidRDefault="00000000">
            <w:r>
              <w:t>Control Person</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BB68E" w14:textId="77777777" w:rsidR="00194C8C" w:rsidRDefault="00000000">
            <w:r>
              <w:t>Senior officer with significant control over the entity (one required even if no 25%+ owner)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F71FBA" w14:textId="77777777" w:rsidR="00194C8C" w:rsidRDefault="00000000">
            <w:r>
              <w:t>Yes (entities)</w:t>
            </w:r>
          </w:p>
        </w:tc>
      </w:tr>
      <w:tr w:rsidR="00194C8C" w14:paraId="053F7BB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C2DAC7" w14:textId="77777777" w:rsidR="00194C8C" w:rsidRDefault="00000000">
            <w:r>
              <w:t>PEP Disclosure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4FFAD4" w14:textId="77777777" w:rsidR="00194C8C" w:rsidRDefault="00000000">
            <w:r>
              <w:t>Are any beneficial owners or control persons Politically Exposed Persons, family members, or close associates?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567E7F" w14:textId="77777777" w:rsidR="00194C8C" w:rsidRDefault="00000000">
            <w:r>
              <w:t>Yes</w:t>
            </w:r>
          </w:p>
        </w:tc>
      </w:tr>
      <w:tr w:rsidR="00194C8C" w14:paraId="24D694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91FEC" w14:textId="77777777" w:rsidR="00194C8C" w:rsidRDefault="00000000">
            <w:r>
              <w:t>Sanctions Attestation</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A8CC9" w14:textId="77777777" w:rsidR="00194C8C" w:rsidRDefault="00000000">
            <w:r>
              <w:t>Affirmation that no beneficial owner is on OFAC SDN list or in a sanctioned jurisdiction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7ABCC" w14:textId="77777777" w:rsidR="00194C8C" w:rsidRDefault="00000000">
            <w:r>
              <w:t>Yes</w:t>
            </w:r>
          </w:p>
        </w:tc>
      </w:tr>
      <w:tr w:rsidR="00194C8C" w14:paraId="6F0E5BF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A6D86" w14:textId="77777777" w:rsidR="00194C8C" w:rsidRDefault="00000000">
            <w:r>
              <w:t>Source of Funds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1894C8" w14:textId="77777777" w:rsidR="00194C8C" w:rsidRDefault="00000000">
            <w:r>
              <w:t>General description of the source of the funds that will pay TCA fees (operating revenue / investment capital / personal wealth / other)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109419" w14:textId="77777777" w:rsidR="00194C8C" w:rsidRDefault="00000000">
            <w:r>
              <w:t>Yes</w:t>
            </w:r>
          </w:p>
        </w:tc>
      </w:tr>
      <w:tr w:rsidR="00194C8C" w14:paraId="5E0C997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A3D17" w14:textId="77777777" w:rsidR="00194C8C" w:rsidRDefault="00000000">
            <w:r>
              <w:t>Existing Regulatory Status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365DAA" w14:textId="77777777" w:rsidR="00194C8C" w:rsidRDefault="00000000">
            <w:r>
              <w:t>Is the entity itself registered as RIA, ERA, broker-dealer, bank, insurance company, or other regulated entity? CRD/IARD number if applicable.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B43972" w14:textId="77777777" w:rsidR="00194C8C" w:rsidRDefault="00000000">
            <w:r>
              <w:t>Yes</w:t>
            </w:r>
          </w:p>
        </w:tc>
      </w:tr>
      <w:tr w:rsidR="00194C8C" w14:paraId="04E369A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6835E9" w14:textId="77777777" w:rsidR="00194C8C" w:rsidRDefault="00000000">
            <w:r>
              <w:t>Adverse Disclosures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8F0A7" w14:textId="77777777" w:rsidR="00194C8C" w:rsidRDefault="00000000">
            <w:r>
              <w:t xml:space="preserve">Has the entity or any beneficial owner been subject to regulatory enforcement, criminal </w:t>
            </w:r>
            <w:proofErr w:type="gramStart"/>
            <w:r>
              <w:t>proceeding</w:t>
            </w:r>
            <w:proofErr w:type="gramEnd"/>
            <w:r>
              <w:t>, or material civil litigation in the last 10 years?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651BAC" w14:textId="77777777" w:rsidR="00194C8C" w:rsidRDefault="00000000">
            <w:r>
              <w:t>Yes</w:t>
            </w:r>
          </w:p>
        </w:tc>
      </w:tr>
      <w:tr w:rsidR="00194C8C" w14:paraId="03ECA66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581EA8" w14:textId="77777777" w:rsidR="00194C8C" w:rsidRDefault="00000000">
            <w:r>
              <w:t>Accredited / Qualified Status</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CCC5B" w14:textId="77777777" w:rsidR="00194C8C" w:rsidRDefault="00000000">
            <w:r>
              <w:t>Self-certification of accredited investor / qualified client / qualified purchaser status if relevant to engagement scope</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5870D0" w14:textId="77777777" w:rsidR="00194C8C" w:rsidRDefault="00000000">
            <w:r>
              <w:t>Conditional</w:t>
            </w:r>
          </w:p>
        </w:tc>
      </w:tr>
      <w:tr w:rsidR="00194C8C" w14:paraId="6C4896F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B91BF5" w14:textId="77777777" w:rsidR="00194C8C" w:rsidRDefault="00000000">
            <w:r>
              <w:t>ID Document Upload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24B9C" w14:textId="77777777" w:rsidR="00194C8C" w:rsidRDefault="00000000">
            <w:r>
              <w:t>Government-issued ID for natural-person applicants and control persons; Certificate of Formation / Good Standing for entities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B9610" w14:textId="77777777" w:rsidR="00194C8C" w:rsidRDefault="00000000">
            <w:r>
              <w:t>Yes</w:t>
            </w:r>
          </w:p>
        </w:tc>
      </w:tr>
    </w:tbl>
    <w:p w14:paraId="37D54413" w14:textId="77777777" w:rsidR="00194C8C" w:rsidRDefault="00000000">
      <w:pPr>
        <w:pStyle w:val="Heading2"/>
      </w:pPr>
      <w:proofErr w:type="gramStart"/>
      <w:r>
        <w:t>3.3  Group</w:t>
      </w:r>
      <w:proofErr w:type="gramEnd"/>
      <w:r>
        <w:t xml:space="preserve"> C — Engagement Scope &amp; Engine Selection</w:t>
      </w:r>
    </w:p>
    <w:p w14:paraId="0BA15091" w14:textId="77777777" w:rsidR="00194C8C" w:rsidRDefault="00000000">
      <w:pPr>
        <w:spacing w:after="120" w:line="300" w:lineRule="auto"/>
      </w:pPr>
      <w:r>
        <w:t>This group is the bridge between the prospective Client and the TCA operational engines. It tells TCA what the Client is asking for, which engines will be invoked, and what the engagement should look like commercially. It also begins to populate the project metadata that, after acceptance, will be passed into the Risk Engine and the R&amp;I Reference Engine at project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760"/>
        <w:gridCol w:w="2000"/>
      </w:tblGrid>
      <w:tr w:rsidR="00194C8C" w14:paraId="6C369C9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69C7EFA" w14:textId="77777777" w:rsidR="00194C8C" w:rsidRDefault="00000000">
            <w:r>
              <w:rPr>
                <w:b/>
                <w:bCs/>
              </w:rPr>
              <w:t>Field</w:t>
            </w:r>
          </w:p>
        </w:tc>
        <w:tc>
          <w:tcPr>
            <w:tcW w:w="47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CC00E6A" w14:textId="77777777" w:rsidR="00194C8C" w:rsidRDefault="00000000">
            <w:r>
              <w:rPr>
                <w:b/>
                <w:bCs/>
              </w:rPr>
              <w:t>Description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EF5F14A" w14:textId="77777777" w:rsidR="00194C8C" w:rsidRDefault="00000000">
            <w:r>
              <w:rPr>
                <w:b/>
                <w:bCs/>
              </w:rPr>
              <w:t>Required</w:t>
            </w:r>
          </w:p>
        </w:tc>
      </w:tr>
      <w:tr w:rsidR="00194C8C" w14:paraId="6D73B80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23EAD" w14:textId="77777777" w:rsidR="00194C8C" w:rsidRDefault="00000000">
            <w:r>
              <w:t>Engagement Type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B2306" w14:textId="77777777" w:rsidR="00194C8C" w:rsidRDefault="00000000">
            <w:r>
              <w:t>Single Viability Opinion / Portfolio Risk Assessment / Subscription Advisory / Custom — drives pricing template and engagement letter selection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0B9585" w14:textId="77777777" w:rsidR="00194C8C" w:rsidRDefault="00000000">
            <w:r>
              <w:t>Yes</w:t>
            </w:r>
          </w:p>
        </w:tc>
      </w:tr>
      <w:tr w:rsidR="00194C8C" w14:paraId="7829B21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6CA0B" w14:textId="77777777" w:rsidR="00194C8C" w:rsidRDefault="00000000">
            <w:r>
              <w:lastRenderedPageBreak/>
              <w:t>Engines Requested</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61CD29" w14:textId="77777777" w:rsidR="00194C8C" w:rsidRDefault="00000000">
            <w:r>
              <w:t>Multi-select: Risk Engine assessment / R&amp;I Reference Engine queries / Heat-map &amp; portfolio analytics / API access / Custom research</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8441C" w14:textId="77777777" w:rsidR="00194C8C" w:rsidRDefault="00000000">
            <w:r>
              <w:t>Yes</w:t>
            </w:r>
          </w:p>
        </w:tc>
      </w:tr>
      <w:tr w:rsidR="00194C8C" w14:paraId="7116F77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16851" w14:textId="77777777" w:rsidR="00194C8C" w:rsidRDefault="00000000">
            <w:r>
              <w:t>Asset Class(es) in Scope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2BD2C1" w14:textId="77777777" w:rsidR="00194C8C" w:rsidRDefault="00000000">
            <w:r>
              <w:t>E&amp;P Upstream / Renewables / Real Estate / Technology / Other — selects vertical framework(s) that will be applied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40FC2B" w14:textId="77777777" w:rsidR="00194C8C" w:rsidRDefault="00000000">
            <w:r>
              <w:t>Yes</w:t>
            </w:r>
          </w:p>
        </w:tc>
      </w:tr>
      <w:tr w:rsidR="00194C8C" w14:paraId="6190F50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200478" w14:textId="77777777" w:rsidR="00194C8C" w:rsidRDefault="00000000">
            <w:r>
              <w:t>Expected Volume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5835A6" w14:textId="77777777" w:rsidR="00194C8C" w:rsidRDefault="00000000">
            <w:r>
              <w:t>Anticipated number of assessments, queries, or reports per engagement period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F1B23" w14:textId="77777777" w:rsidR="00194C8C" w:rsidRDefault="00000000">
            <w:r>
              <w:t>Yes</w:t>
            </w:r>
          </w:p>
        </w:tc>
      </w:tr>
      <w:tr w:rsidR="00194C8C" w14:paraId="46A2EA0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156CFB" w14:textId="77777777" w:rsidR="00194C8C" w:rsidRDefault="00000000">
            <w:r>
              <w:t>Anticipated Start Date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2A5AF" w14:textId="77777777" w:rsidR="00194C8C" w:rsidRDefault="00000000">
            <w:r>
              <w:t>Target engagement commencement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9B15DF" w14:textId="77777777" w:rsidR="00194C8C" w:rsidRDefault="00000000">
            <w:r>
              <w:t>Yes</w:t>
            </w:r>
          </w:p>
        </w:tc>
      </w:tr>
      <w:tr w:rsidR="00194C8C" w14:paraId="613EA84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F9A69F" w14:textId="77777777" w:rsidR="00194C8C" w:rsidRDefault="00000000">
            <w:r>
              <w:t>Project Brief</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7A20EA" w14:textId="77777777" w:rsidR="00194C8C" w:rsidRDefault="00000000">
            <w:r>
              <w:t>Free-text description of the engagement objective; bounded length (e.g., 2,000 characters) with profanity and PII linting</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D9449" w14:textId="77777777" w:rsidR="00194C8C" w:rsidRDefault="00000000">
            <w:r>
              <w:t>Yes</w:t>
            </w:r>
          </w:p>
        </w:tc>
      </w:tr>
      <w:tr w:rsidR="00194C8C" w14:paraId="3E90A1A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CAC459" w14:textId="77777777" w:rsidR="00194C8C" w:rsidRDefault="00000000">
            <w:r>
              <w:t>Conflict / Affiliation Disclosure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DB5D46" w14:textId="77777777" w:rsidR="00194C8C" w:rsidRDefault="00000000">
            <w:r>
              <w:t>Is the applicant affiliated with 2678 Holdings, TCM, TCN, or any of their officers, directors, or principals? Required for the independence record.</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96498E" w14:textId="77777777" w:rsidR="00194C8C" w:rsidRDefault="00000000">
            <w:r>
              <w:t>Yes</w:t>
            </w:r>
          </w:p>
        </w:tc>
      </w:tr>
      <w:tr w:rsidR="00194C8C" w14:paraId="7B4C311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957D8C" w14:textId="77777777" w:rsidR="00194C8C" w:rsidRDefault="00000000">
            <w:r>
              <w:t>Referral Source</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FE3873" w14:textId="77777777" w:rsidR="00194C8C" w:rsidRDefault="00000000">
            <w:r>
              <w:t>How the applicant learned of TCA — supports Marketing Rule (Rule 206(4)-1) testimonial/endorsement tracking</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896C2" w14:textId="77777777" w:rsidR="00194C8C" w:rsidRDefault="00000000">
            <w:r>
              <w:t>No</w:t>
            </w:r>
          </w:p>
        </w:tc>
      </w:tr>
    </w:tbl>
    <w:p w14:paraId="350359E7" w14:textId="77777777" w:rsidR="00194C8C" w:rsidRDefault="00000000">
      <w:pPr>
        <w:pStyle w:val="Heading2"/>
      </w:pPr>
      <w:proofErr w:type="gramStart"/>
      <w:r>
        <w:t>3.4  Group</w:t>
      </w:r>
      <w:proofErr w:type="gramEnd"/>
      <w:r>
        <w:t xml:space="preserve"> D — Consent, Attestation &amp; Submission</w:t>
      </w:r>
    </w:p>
    <w:p w14:paraId="5C9CCF27" w14:textId="77777777" w:rsidR="00194C8C" w:rsidRDefault="00000000">
      <w:pPr>
        <w:spacing w:after="120" w:line="300" w:lineRule="auto"/>
      </w:pPr>
      <w:r>
        <w:t>This group closes the application. Every consent, attestation, and authorization a regulated adviser needs at engagement formation should be captured here, in versioned form, with the exact text the applicant agreed to and a cryptographic record of the submission. The legal review of the consent text itself is a separate workstream and should be performed by outside counsel before launch; this memorandum identifies the consent surfaces, not the wording.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94C8C" w14:paraId="6AA4D1E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6C3FC04" w14:textId="77777777" w:rsidR="00194C8C" w:rsidRDefault="00000000">
            <w:r>
              <w:rPr>
                <w:b/>
                <w:bCs/>
              </w:rPr>
              <w:t>Consent Surface</w:t>
            </w:r>
          </w:p>
        </w:tc>
        <w:tc>
          <w:tcPr>
            <w:tcW w:w="67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7A7C7B2" w14:textId="77777777" w:rsidR="00194C8C" w:rsidRDefault="00000000">
            <w:r>
              <w:rPr>
                <w:b/>
                <w:bCs/>
              </w:rPr>
              <w:t>Purpose</w:t>
            </w:r>
          </w:p>
        </w:tc>
      </w:tr>
      <w:tr w:rsidR="00194C8C" w14:paraId="78E2AC2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1472E3" w14:textId="77777777" w:rsidR="00194C8C" w:rsidRDefault="00000000">
            <w:r>
              <w:t>Privacy Notice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88599D" w14:textId="77777777" w:rsidR="00194C8C" w:rsidRDefault="00000000">
            <w:r>
              <w:t>Regulation S-P initial privacy notice acknowledgment; describes how TCA collects, uses, and protects nonpublic personal information.</w:t>
            </w:r>
          </w:p>
        </w:tc>
      </w:tr>
      <w:tr w:rsidR="00194C8C" w14:paraId="0B910E9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F274DC" w14:textId="77777777" w:rsidR="00194C8C" w:rsidRDefault="00000000">
            <w:proofErr w:type="gramStart"/>
            <w:r>
              <w:t>Form</w:t>
            </w:r>
            <w:proofErr w:type="gramEnd"/>
            <w:r>
              <w:t xml:space="preserve"> ADV Part 2 / Wrap Brochure Receipt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9F3F7" w14:textId="77777777" w:rsidR="00194C8C" w:rsidRDefault="00000000">
            <w:r>
              <w:t>Acknowledgment of delivery of Form ADV Part 2A (and 2B where applicable) prior to or at engagement, satisfying Rule 204-3.</w:t>
            </w:r>
          </w:p>
        </w:tc>
      </w:tr>
      <w:tr w:rsidR="00194C8C" w14:paraId="2A9337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EA8C9A" w14:textId="77777777" w:rsidR="00194C8C" w:rsidRDefault="00000000">
            <w:r>
              <w:t>Engagement Letter Acceptance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0DB8A" w14:textId="77777777" w:rsidR="00194C8C" w:rsidRDefault="00000000">
            <w:r>
              <w:t>Electronic signature on the engagement letter, which sets out scope, fees, and termination. Versioned at submission.</w:t>
            </w:r>
          </w:p>
        </w:tc>
      </w:tr>
      <w:tr w:rsidR="00194C8C" w14:paraId="2216B74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B368DA" w14:textId="77777777" w:rsidR="00194C8C" w:rsidRDefault="00000000">
            <w:r>
              <w:t>AML/KYC Authorization</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CA5474" w14:textId="77777777" w:rsidR="00194C8C" w:rsidRDefault="00000000">
            <w:r>
              <w:t>Authorization for TCA to perform identity verification, sanctions screening, and background checks against beneficial owners.</w:t>
            </w:r>
          </w:p>
        </w:tc>
      </w:tr>
      <w:tr w:rsidR="00194C8C" w14:paraId="47E7BBF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8260DB" w14:textId="77777777" w:rsidR="00194C8C" w:rsidRDefault="00000000">
            <w:r>
              <w:lastRenderedPageBreak/>
              <w:t>Information Accuracy Attestation</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CA9CA2" w14:textId="77777777" w:rsidR="00194C8C" w:rsidRDefault="00000000">
            <w:r>
              <w:t>Attestation under penalty of misrepresentation that the information provided is true, complete, and current.</w:t>
            </w:r>
          </w:p>
        </w:tc>
      </w:tr>
      <w:tr w:rsidR="00194C8C" w14:paraId="7807A5D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370D1" w14:textId="77777777" w:rsidR="00194C8C" w:rsidRDefault="00000000">
            <w:r>
              <w:t>Electronic Delivery Consent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ABB33B" w14:textId="77777777" w:rsidR="00194C8C" w:rsidRDefault="00000000">
            <w:r>
              <w:t>E-SIGN Act compliant consent to receive all disclosures, reports, and communications electronically.</w:t>
            </w:r>
          </w:p>
        </w:tc>
      </w:tr>
      <w:tr w:rsidR="00194C8C" w14:paraId="34A7731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206EA" w14:textId="77777777" w:rsidR="00194C8C" w:rsidRDefault="00000000">
            <w:r>
              <w:t>Cookie / Tracking Consent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8028BC" w14:textId="77777777" w:rsidR="00194C8C" w:rsidRDefault="00000000">
            <w:r>
              <w:t>Captured separately at site entry; logged against the application ID for jurisdictional completeness (GDPR, CCPA).</w:t>
            </w:r>
          </w:p>
        </w:tc>
      </w:tr>
    </w:tbl>
    <w:p w14:paraId="16F6F513" w14:textId="77777777" w:rsidR="00194C8C" w:rsidRDefault="00000000">
      <w:pPr>
        <w:spacing w:after="120" w:line="300" w:lineRule="auto"/>
      </w:pPr>
      <w:r>
        <w:t>Every consent must be captured in three forms: (</w:t>
      </w:r>
      <w:proofErr w:type="spellStart"/>
      <w:r>
        <w:t>i</w:t>
      </w:r>
      <w:proofErr w:type="spellEnd"/>
      <w:r>
        <w:t>) the user's affirmative action (checkbox + signature), (ii) the verbatim text the user agreed to, archived against a content version ID, and (iii) the timestamp, IP address, and user-agent of the submission. This is the difference between an enforceable consent record and a weak one.</w:t>
      </w:r>
    </w:p>
    <w:p w14:paraId="7BE4C0DE" w14:textId="77777777" w:rsidR="00B8007D" w:rsidRDefault="00B8007D">
      <w:pPr>
        <w:spacing w:after="120" w:line="300" w:lineRule="auto"/>
      </w:pPr>
    </w:p>
    <w:p w14:paraId="1B24AAD4" w14:textId="77777777" w:rsidR="00194C8C" w:rsidRDefault="00000000">
      <w:pPr>
        <w:pStyle w:val="Heading1"/>
      </w:pPr>
      <w:r>
        <w:t>4.  Form Architecture and User Experience</w:t>
      </w:r>
    </w:p>
    <w:p w14:paraId="68BA4115" w14:textId="77777777" w:rsidR="00194C8C" w:rsidRDefault="00000000">
      <w:pPr>
        <w:pStyle w:val="Heading2"/>
      </w:pPr>
      <w:proofErr w:type="gramStart"/>
      <w:r>
        <w:t>4.1  Multi</w:t>
      </w:r>
      <w:proofErr w:type="gramEnd"/>
      <w:r>
        <w:t>-Step Wizard with Save &amp; Resume</w:t>
      </w:r>
    </w:p>
    <w:p w14:paraId="4C5FBA10" w14:textId="77777777" w:rsidR="00194C8C" w:rsidRDefault="00000000">
      <w:pPr>
        <w:spacing w:after="120" w:line="300" w:lineRule="auto"/>
      </w:pPr>
      <w:r>
        <w:t>A single-page application form for the scope described above is unworkable — applicants will not complete a forty-field form in one sitting, and a partial submission with no save-and-resume capability is lost work for both sides. The intake should be implemented as a multi-step wizard with the following sequence: (1) Get Started — applicant type and intent; (2) Identity &amp; Entity — Group A; (3) Regulatory &amp; AML — Group B; (4) Engagement Scope — Group C; (5) Documents — uploads keyed to the Group A/B fields; (6) Review &amp; Submit — final review with consent surfaces and submission.</w:t>
      </w:r>
    </w:p>
    <w:p w14:paraId="0F71E62F" w14:textId="77777777" w:rsidR="00194C8C" w:rsidRDefault="00000000">
      <w:pPr>
        <w:spacing w:after="120" w:line="300" w:lineRule="auto"/>
      </w:pPr>
      <w:r>
        <w:t xml:space="preserve">Save-and-resume requires the applicant to authenticate before sensitive data is captured. The recommended flow </w:t>
      </w:r>
      <w:proofErr w:type="gramStart"/>
      <w:r>
        <w:t>is:</w:t>
      </w:r>
      <w:proofErr w:type="gramEnd"/>
      <w:r>
        <w:t xml:space="preserve"> at the end of Step 1, the applicant provides an email address and receives a magic-link or one-time-code message that establishes a session. From Step 2 onward the applicant is authenticated and can save progress at any step. This avoids forcing account creation while still binding the sensitive submission to a verifiable email channel and producing an authentication record TCA can preserve. The </w:t>
      </w:r>
      <w:proofErr w:type="gramStart"/>
      <w:r>
        <w:t>Principal</w:t>
      </w:r>
      <w:proofErr w:type="gramEnd"/>
      <w:r>
        <w:t xml:space="preserve"> should note that on the regulator-facing side, a magic-link record is acceptable; a fully anonymous form submission is not.</w:t>
      </w:r>
    </w:p>
    <w:p w14:paraId="1F9861E8" w14:textId="77777777" w:rsidR="00194C8C" w:rsidRDefault="00000000">
      <w:pPr>
        <w:pStyle w:val="Heading2"/>
      </w:pPr>
      <w:proofErr w:type="gramStart"/>
      <w:r>
        <w:t>4.2  Progressive</w:t>
      </w:r>
      <w:proofErr w:type="gramEnd"/>
      <w:r>
        <w:t xml:space="preserve"> Disclosure and Conditional Fields</w:t>
      </w:r>
    </w:p>
    <w:p w14:paraId="33F0CA0A" w14:textId="77777777" w:rsidR="00194C8C" w:rsidRDefault="00000000">
      <w:pPr>
        <w:spacing w:after="120" w:line="300" w:lineRule="auto"/>
      </w:pPr>
      <w:r>
        <w:t>Fields should appear only when they are relevant. A natural-person applicant should not see entity formation fields; a non-U.S. applicant should not be asked for an EIN as a primary tax identifier. Conditional logic must be implemented server-side as well as in the UI — never trust client-side gating for required-field enforcement, because a regulator examining the submission cares only about what was captured and what was attested to, not what the UI showed. The same applies to the engagement-scope group: an applicant selecting a Risk Engine engagement should see asset-class selection; an applicant selecting only R&amp;I queries should see corpus-scope selection instead.</w:t>
      </w:r>
    </w:p>
    <w:p w14:paraId="3783A36C" w14:textId="77777777" w:rsidR="00194C8C" w:rsidRDefault="00000000">
      <w:pPr>
        <w:pStyle w:val="Heading2"/>
      </w:pPr>
      <w:proofErr w:type="gramStart"/>
      <w:r>
        <w:lastRenderedPageBreak/>
        <w:t>4.3  Field</w:t>
      </w:r>
      <w:proofErr w:type="gramEnd"/>
      <w:r>
        <w:t>-Level Validation, Linting, and Sanitization</w:t>
      </w:r>
    </w:p>
    <w:p w14:paraId="50212C24" w14:textId="77777777" w:rsidR="00194C8C" w:rsidRDefault="00000000">
      <w:pPr>
        <w:spacing w:after="120" w:line="300" w:lineRule="auto"/>
      </w:pPr>
      <w:r>
        <w:t xml:space="preserve">Every input field carries a validation rule and a sanitization rule. Validation enforces format and range — EIN is nine digits, ownership percentages sum to ≤ 100%, dates are real dates, file uploads are within type and size limits. Sanitization enforces safety — stripping or escaping characters that would otherwise produce SQL </w:t>
      </w:r>
      <w:proofErr w:type="gramStart"/>
      <w:r>
        <w:t>injection</w:t>
      </w:r>
      <w:proofErr w:type="gramEnd"/>
      <w:r>
        <w:t xml:space="preserve">, cross-site scripting, or template </w:t>
      </w:r>
      <w:proofErr w:type="gramStart"/>
      <w:r>
        <w:t>injection</w:t>
      </w:r>
      <w:proofErr w:type="gramEnd"/>
      <w:r>
        <w:t xml:space="preserve"> downstream. Both happen at the API boundary, not the form. The form's client-side validation is a UX nicety; the server-side validation is the control.</w:t>
      </w:r>
    </w:p>
    <w:p w14:paraId="23A74CFA" w14:textId="77777777" w:rsidR="00194C8C" w:rsidRDefault="00000000">
      <w:pPr>
        <w:spacing w:after="120" w:line="300" w:lineRule="auto"/>
      </w:pPr>
      <w:r>
        <w:t xml:space="preserve">Two specific </w:t>
      </w:r>
      <w:proofErr w:type="spellStart"/>
      <w:r>
        <w:t>lints</w:t>
      </w:r>
      <w:proofErr w:type="spellEnd"/>
      <w:r>
        <w:t xml:space="preserve"> deserve mention. The first is PII detection on the free-text Project Brief field: if an applicant pastes Social Security Numbers, bank account details, or other sensitive personal data into a description field, that data should be flagged and stripped before storage, with the applicant notified. The second is sanctions-list pre-screen: country of address, jurisdiction of formation, and citizenship fields should be matched against OFAC country lists at validation time, with hits producing a soft block ("this application requires manual review before submission") rather than a hard refusal.</w:t>
      </w:r>
    </w:p>
    <w:p w14:paraId="6440DBE0" w14:textId="77777777" w:rsidR="00194C8C" w:rsidRDefault="00000000">
      <w:pPr>
        <w:pStyle w:val="Heading2"/>
      </w:pPr>
      <w:proofErr w:type="gramStart"/>
      <w:r>
        <w:t>4.4  Accessibility</w:t>
      </w:r>
      <w:proofErr w:type="gramEnd"/>
      <w:r>
        <w:t xml:space="preserve"> and Mobile</w:t>
      </w:r>
    </w:p>
    <w:p w14:paraId="273FFE0A" w14:textId="77777777" w:rsidR="00194C8C" w:rsidRDefault="00000000">
      <w:pPr>
        <w:spacing w:after="120" w:line="300" w:lineRule="auto"/>
      </w:pPr>
      <w:r>
        <w:t>The form must meet WCAG 2.1 AA — keyboard navigation, screen-reader labels on every input, ARIA roles on dynamic regions, sufficient color contrast, no information conveyed by color alone, and form errors announced in a discoverable way. A meaningful fraction of legitimate applicants will complete the form on mobile devices; the wizard must be responsive, with file upload working from a phone camera, and with text input fields sized for thumb input. Accessibility is not optional in 2026; an inaccessible form is both an exclusion of legitimate applicants and a legal liability under the ADA Title III line of cases.</w:t>
      </w:r>
    </w:p>
    <w:p w14:paraId="5D017B0E" w14:textId="77777777" w:rsidR="00194C8C" w:rsidRDefault="00000000">
      <w:pPr>
        <w:pStyle w:val="Heading2"/>
      </w:pPr>
      <w:proofErr w:type="gramStart"/>
      <w:r>
        <w:t>4.5  The</w:t>
      </w:r>
      <w:proofErr w:type="gramEnd"/>
      <w:r>
        <w:t xml:space="preserve"> Honest Friction Principle</w:t>
      </w:r>
    </w:p>
    <w:p w14:paraId="1CDAB57C" w14:textId="77777777" w:rsidR="00194C8C" w:rsidRDefault="00000000">
      <w:pPr>
        <w:spacing w:after="120" w:line="300" w:lineRule="auto"/>
      </w:pPr>
      <w:r>
        <w:t>The intake is a serious legal and commercial act. The design should not pretend otherwise. The wizard should communicate at each stage what is being collected and why, should set honest expectations about review time, and should not gamify or rush the applicant through consent surfaces. "Honest friction" — a deliberate, well-explained pause at consent steps — both improves the quality of submissions and produces stronger consent records on examination.</w:t>
      </w:r>
    </w:p>
    <w:p w14:paraId="0D711105" w14:textId="77777777" w:rsidR="00194C8C" w:rsidRDefault="00000000">
      <w:pPr>
        <w:pStyle w:val="Heading1"/>
      </w:pPr>
      <w:r>
        <w:t>5</w:t>
      </w:r>
      <w:proofErr w:type="gramStart"/>
      <w:r>
        <w:t>.  Technical</w:t>
      </w:r>
      <w:proofErr w:type="gramEnd"/>
      <w:r>
        <w:t xml:space="preserve"> Architecture</w:t>
      </w:r>
    </w:p>
    <w:p w14:paraId="45A69E6B" w14:textId="77777777" w:rsidR="00194C8C" w:rsidRDefault="00000000">
      <w:pPr>
        <w:pStyle w:val="Heading2"/>
      </w:pPr>
      <w:proofErr w:type="gramStart"/>
      <w:r>
        <w:t>5.1  Architectural</w:t>
      </w:r>
      <w:proofErr w:type="gramEnd"/>
      <w:r>
        <w:t xml:space="preserve"> Posture</w:t>
      </w:r>
    </w:p>
    <w:p w14:paraId="24185227" w14:textId="11C80228" w:rsidR="00194C8C" w:rsidRDefault="00000000">
      <w:pPr>
        <w:spacing w:after="120" w:line="300" w:lineRule="auto"/>
      </w:pPr>
      <w:r>
        <w:t xml:space="preserve">The intake system is a separate web application from the marketing site. The marketing site links to it; the application URL lives under a subdomain (e.g., </w:t>
      </w:r>
      <w:proofErr w:type="spellStart"/>
      <w:proofErr w:type="gramStart"/>
      <w:r w:rsidRPr="00B8007D">
        <w:rPr>
          <w:highlight w:val="yellow"/>
        </w:rPr>
        <w:t>apply.tokencap</w:t>
      </w:r>
      <w:proofErr w:type="gramEnd"/>
      <w:r w:rsidRPr="00B8007D">
        <w:rPr>
          <w:highlight w:val="yellow"/>
        </w:rPr>
        <w:t>.advisors</w:t>
      </w:r>
      <w:proofErr w:type="spellEnd"/>
      <w:r>
        <w:t>) served by Nginx as a reverse proxy. The two systems share infrastructure in the near term — both on the existing VPS — but are architecturally isolated. The intake application is not a WordPress plugin; embedding it in WordPress would create the same entanglement risk that the Technology Strategy memo identified for the Risk Engine.</w:t>
      </w:r>
    </w:p>
    <w:p w14:paraId="54146F7E" w14:textId="77777777" w:rsidR="00194C8C" w:rsidRDefault="00000000">
      <w:pPr>
        <w:spacing w:after="120" w:line="300" w:lineRule="auto"/>
      </w:pPr>
      <w:r>
        <w:lastRenderedPageBreak/>
        <w:t>Consistent with the existing TCA technology stack and the Risk Engine and Reference Engine builds, the intake application is a React/TypeScript single-page application served from Nginx, with a Node.js/Express API on the server side and PostgreSQL for persistent storage. The same JWT-based session model used elsewhere is reused. File uploads land in Cloudflare R2 (or AWS S3 equivalent) with server-side encryption and lifecycle policies aligned to the books-and-records retention schedule. This is the same technology pattern used for the Risk Engine and the R&amp;I Reference Engine — deliberately so, to keep the development and operational surface area small.</w:t>
      </w:r>
    </w:p>
    <w:p w14:paraId="2F061FFF" w14:textId="77777777" w:rsidR="00194C8C" w:rsidRDefault="00000000">
      <w:pPr>
        <w:pStyle w:val="Heading2"/>
      </w:pPr>
      <w:proofErr w:type="gramStart"/>
      <w:r>
        <w:t>5.2  System</w:t>
      </w:r>
      <w:proofErr w:type="gramEnd"/>
      <w:r>
        <w:t xml:space="preserv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94C8C" w14:paraId="500A957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90650B5" w14:textId="77777777" w:rsidR="00194C8C" w:rsidRDefault="00000000">
            <w:r>
              <w:rPr>
                <w:b/>
                <w:bCs/>
              </w:rPr>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252E5C8" w14:textId="77777777" w:rsidR="00194C8C" w:rsidRDefault="00000000">
            <w:r>
              <w:rPr>
                <w:b/>
                <w:bCs/>
              </w:rPr>
              <w:t>Technology</w:t>
            </w:r>
          </w:p>
        </w:tc>
        <w:tc>
          <w:tcPr>
            <w:tcW w:w="45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145DBB5" w14:textId="77777777" w:rsidR="00194C8C" w:rsidRDefault="00000000">
            <w:r>
              <w:rPr>
                <w:b/>
                <w:bCs/>
              </w:rPr>
              <w:t>Responsibility</w:t>
            </w:r>
          </w:p>
        </w:tc>
      </w:tr>
      <w:tr w:rsidR="00194C8C" w14:paraId="48F3AE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156AA6" w14:textId="77777777" w:rsidR="00194C8C" w:rsidRDefault="00000000">
            <w:r>
              <w:t>Public marketing landing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92969" w14:textId="7869B267" w:rsidR="00194C8C" w:rsidRDefault="00B8007D">
            <w:r w:rsidRPr="00B8007D">
              <w:t xml:space="preserve">Static HTML/CSS/JavaScript site, hosted on </w:t>
            </w:r>
            <w:proofErr w:type="spellStart"/>
            <w:r w:rsidRPr="00B8007D">
              <w:t>Vercel</w:t>
            </w:r>
            <w:proofErr w:type="spellEnd"/>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A68973" w14:textId="77777777" w:rsidR="00194C8C" w:rsidRDefault="00000000">
            <w:r>
              <w:t xml:space="preserve">Marketing content; outbound link to </w:t>
            </w:r>
            <w:proofErr w:type="spellStart"/>
            <w:proofErr w:type="gramStart"/>
            <w:r>
              <w:t>apply.tokencap</w:t>
            </w:r>
            <w:proofErr w:type="gramEnd"/>
            <w:r>
              <w:t>.advisors</w:t>
            </w:r>
            <w:proofErr w:type="spellEnd"/>
            <w:r>
              <w:t>. No application logic.</w:t>
            </w:r>
          </w:p>
        </w:tc>
      </w:tr>
      <w:tr w:rsidR="00194C8C" w14:paraId="6B2D51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70FDA2" w14:textId="77777777" w:rsidR="00194C8C" w:rsidRDefault="00000000">
            <w:r>
              <w:t>Intake SPA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EF9A8" w14:textId="77777777" w:rsidR="00194C8C" w:rsidRDefault="00000000">
            <w:r>
              <w:t>React / TypeScript</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C78A6" w14:textId="77777777" w:rsidR="00194C8C" w:rsidRDefault="00000000">
            <w:r>
              <w:t>Multi-step wizard, client-side validation, accessibility, file upload UI.</w:t>
            </w:r>
          </w:p>
        </w:tc>
      </w:tr>
      <w:tr w:rsidR="00194C8C" w14:paraId="3883FD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92A8AA" w14:textId="77777777" w:rsidR="00194C8C" w:rsidRDefault="00000000">
            <w:r>
              <w:t>Intake API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5D6663" w14:textId="77777777" w:rsidR="00194C8C" w:rsidRDefault="00000000">
            <w:r>
              <w:t>Node.js / Express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2DBBA2" w14:textId="77777777" w:rsidR="00194C8C" w:rsidRDefault="00000000">
            <w:r>
              <w:t>Server-side validation, sanitization, magic-link auth, draft persistence, submission orchestration.</w:t>
            </w:r>
          </w:p>
        </w:tc>
      </w:tr>
      <w:tr w:rsidR="00194C8C" w14:paraId="6E86606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97AACA" w14:textId="77777777" w:rsidR="00194C8C" w:rsidRDefault="00000000">
            <w:r>
              <w:t>Application database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7FCABE" w14:textId="77777777" w:rsidR="00194C8C" w:rsidRDefault="00000000">
            <w:r>
              <w:t>PostgreSQL</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91C02E" w14:textId="77777777" w:rsidR="00194C8C" w:rsidRDefault="00000000">
            <w:r>
              <w:t>Client Application Records, draft state, audit log, consent text versions.</w:t>
            </w:r>
          </w:p>
        </w:tc>
      </w:tr>
      <w:tr w:rsidR="00194C8C" w14:paraId="609A28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2E2CE2" w14:textId="77777777" w:rsidR="00194C8C" w:rsidRDefault="00000000">
            <w:r>
              <w:t>File storage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CBA88" w14:textId="77777777" w:rsidR="00194C8C" w:rsidRDefault="00000000">
            <w:r>
              <w:t>Cloudflare R2 / S3</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0CEAD7" w14:textId="77777777" w:rsidR="00194C8C" w:rsidRDefault="00000000">
            <w:r>
              <w:t>ID documents, certificates of formation, with SSE, lifecycle policies, immutable retention.</w:t>
            </w:r>
          </w:p>
        </w:tc>
      </w:tr>
      <w:tr w:rsidR="00194C8C" w14:paraId="3B8B78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F9927" w14:textId="77777777" w:rsidR="00194C8C" w:rsidRDefault="00000000">
            <w:r>
              <w:t>Screening jobs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335ED" w14:textId="77777777" w:rsidR="00194C8C" w:rsidRDefault="00000000">
            <w:r>
              <w:t>Node worker + queue</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E886E2" w14:textId="77777777" w:rsidR="00194C8C" w:rsidRDefault="00000000">
            <w:r>
              <w:t>OFAC, sanctions, PEP, adverse-media checks. Asynchronous; results written back to CAR.</w:t>
            </w:r>
          </w:p>
        </w:tc>
      </w:tr>
      <w:tr w:rsidR="00194C8C" w14:paraId="005854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95C068" w14:textId="77777777" w:rsidR="00194C8C" w:rsidRDefault="00000000">
            <w:r>
              <w:t>Compliance review UI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034533" w14:textId="77777777" w:rsidR="00194C8C" w:rsidRDefault="00000000">
            <w:r>
              <w:t>React (admin)</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829343" w14:textId="77777777" w:rsidR="00194C8C" w:rsidRDefault="00000000">
            <w:r>
              <w:t>Internal-only application review queue, decision capture, four-eyes approval, audit trail.</w:t>
            </w:r>
          </w:p>
        </w:tc>
      </w:tr>
      <w:tr w:rsidR="00194C8C" w14:paraId="525535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F05FE" w14:textId="77777777" w:rsidR="00194C8C" w:rsidRDefault="00000000">
            <w:r>
              <w:t>Notification service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B5C2FC" w14:textId="77777777" w:rsidR="00194C8C" w:rsidRDefault="00000000">
            <w:r>
              <w:t>SES / Postmark</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5FA03" w14:textId="77777777" w:rsidR="00194C8C" w:rsidRDefault="00000000">
            <w:r>
              <w:t>Magic-link emails, application status, internal alerts. All notifications logged.</w:t>
            </w:r>
          </w:p>
        </w:tc>
      </w:tr>
      <w:tr w:rsidR="00194C8C" w14:paraId="00787C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EBDB9E" w14:textId="77777777" w:rsidR="00194C8C" w:rsidRDefault="00000000">
            <w:r>
              <w:t>Audit log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4F8CA" w14:textId="77777777" w:rsidR="00194C8C" w:rsidRDefault="00000000">
            <w:r>
              <w:t>PostgreSQL append-only</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D946A8" w14:textId="77777777" w:rsidR="00194C8C" w:rsidRDefault="00000000">
            <w:r>
              <w:t>Every state change written immutably; same pattern as Risk Engine audit log.</w:t>
            </w:r>
          </w:p>
        </w:tc>
      </w:tr>
    </w:tbl>
    <w:p w14:paraId="2956331B" w14:textId="77777777" w:rsidR="00194C8C" w:rsidRDefault="00000000">
      <w:pPr>
        <w:pStyle w:val="Heading2"/>
      </w:pPr>
      <w:proofErr w:type="gramStart"/>
      <w:r>
        <w:t>5.3  Data</w:t>
      </w:r>
      <w:proofErr w:type="gramEnd"/>
      <w:r>
        <w:t xml:space="preserve"> Model — Core Tables</w:t>
      </w:r>
    </w:p>
    <w:p w14:paraId="6AF3617B" w14:textId="77777777" w:rsidR="00194C8C" w:rsidRDefault="00000000">
      <w:pPr>
        <w:spacing w:after="120" w:line="300" w:lineRule="auto"/>
      </w:pPr>
      <w:r>
        <w:t xml:space="preserve">The application database centers on six related entities: </w:t>
      </w:r>
      <w:proofErr w:type="spellStart"/>
      <w:r>
        <w:t>client_application</w:t>
      </w:r>
      <w:proofErr w:type="spellEnd"/>
      <w:r>
        <w:t xml:space="preserve"> (the CAR), applicant (the natural person or entity), </w:t>
      </w:r>
      <w:proofErr w:type="spellStart"/>
      <w:r>
        <w:t>beneficial_owner</w:t>
      </w:r>
      <w:proofErr w:type="spellEnd"/>
      <w:r>
        <w:t xml:space="preserve">, document (uploaded files with hash, mime, R2 key), </w:t>
      </w:r>
      <w:proofErr w:type="spellStart"/>
      <w:r>
        <w:t>screening_result</w:t>
      </w:r>
      <w:proofErr w:type="spellEnd"/>
      <w:r>
        <w:t xml:space="preserve"> (OFAC, PEP, etc.), and </w:t>
      </w:r>
      <w:proofErr w:type="spellStart"/>
      <w:r>
        <w:t>audit_event</w:t>
      </w:r>
      <w:proofErr w:type="spellEnd"/>
      <w:r>
        <w:t xml:space="preserve"> (every state change). A </w:t>
      </w:r>
      <w:proofErr w:type="spellStart"/>
      <w:r>
        <w:t>consent_record</w:t>
      </w:r>
      <w:proofErr w:type="spellEnd"/>
      <w:r>
        <w:t xml:space="preserve"> table stores each accepted consent against the exact versioned text. A </w:t>
      </w:r>
      <w:proofErr w:type="spellStart"/>
      <w:r>
        <w:t>magic_link_session</w:t>
      </w:r>
      <w:proofErr w:type="spellEnd"/>
      <w:r>
        <w:t xml:space="preserve"> table holds short-lived authentication tokens. The schema must be designed so that no record is ever deleted in the production </w:t>
      </w:r>
      <w:r>
        <w:lastRenderedPageBreak/>
        <w:t>database — completed applications transition through state, declined applications are marked declined and retained, abandoned drafts are purged only after a documented retention window (recommend 180 days for drafts, then a tombstone record retained for the books-and-records period).</w:t>
      </w:r>
    </w:p>
    <w:p w14:paraId="15EFACC0" w14:textId="77777777" w:rsidR="00194C8C" w:rsidRDefault="00000000">
      <w:pPr>
        <w:pStyle w:val="Heading2"/>
      </w:pPr>
      <w:proofErr w:type="gramStart"/>
      <w:r>
        <w:t>5.4  Integration</w:t>
      </w:r>
      <w:proofErr w:type="gramEnd"/>
      <w:r>
        <w:t xml:space="preserve"> Surfaces</w:t>
      </w:r>
    </w:p>
    <w:p w14:paraId="26C303C4" w14:textId="77777777" w:rsidR="00194C8C" w:rsidRDefault="00000000">
      <w:pPr>
        <w:spacing w:after="120" w:line="300" w:lineRule="auto"/>
      </w:pPr>
      <w:r>
        <w:t>Three downstream integrations matter at the outset, and a fourth in the near term:</w:t>
      </w:r>
    </w:p>
    <w:p w14:paraId="22742AA8" w14:textId="77777777" w:rsidR="00194C8C" w:rsidRDefault="00000000">
      <w:pPr>
        <w:pStyle w:val="ListParagraph"/>
        <w:numPr>
          <w:ilvl w:val="0"/>
          <w:numId w:val="2"/>
        </w:numPr>
        <w:spacing w:after="80" w:line="280" w:lineRule="auto"/>
      </w:pPr>
      <w:r>
        <w:rPr>
          <w:b/>
          <w:bCs/>
        </w:rPr>
        <w:t xml:space="preserve">Sanctions / KYC screening provider — </w:t>
      </w:r>
      <w:r>
        <w:t xml:space="preserve">An external service (e.g., </w:t>
      </w:r>
      <w:proofErr w:type="spellStart"/>
      <w:r>
        <w:t>ComplyAdvantage</w:t>
      </w:r>
      <w:proofErr w:type="spellEnd"/>
      <w:r>
        <w:t xml:space="preserve">, </w:t>
      </w:r>
      <w:proofErr w:type="spellStart"/>
      <w:r>
        <w:t>Onfido</w:t>
      </w:r>
      <w:proofErr w:type="spellEnd"/>
      <w:r>
        <w:t xml:space="preserve">, Persona, </w:t>
      </w:r>
      <w:proofErr w:type="spellStart"/>
      <w:r>
        <w:t>Sumsub</w:t>
      </w:r>
      <w:proofErr w:type="spellEnd"/>
      <w:r>
        <w:t xml:space="preserve">, or LSEG World-Check) performs OFAC SDN, OFAC consolidated, EU sanctions, UN sanctions, PEP, and adverse-media screening. The integration is asynchronous via webhook; results are written into </w:t>
      </w:r>
      <w:proofErr w:type="spellStart"/>
      <w:r>
        <w:t>screening_result</w:t>
      </w:r>
      <w:proofErr w:type="spellEnd"/>
      <w:r>
        <w:t>. Selection of provider is a separate procurement decision deferred to the Phase 1 review.</w:t>
      </w:r>
    </w:p>
    <w:p w14:paraId="5D952833" w14:textId="77777777" w:rsidR="00194C8C" w:rsidRDefault="00000000">
      <w:pPr>
        <w:pStyle w:val="ListParagraph"/>
        <w:numPr>
          <w:ilvl w:val="0"/>
          <w:numId w:val="2"/>
        </w:numPr>
        <w:spacing w:after="80" w:line="280" w:lineRule="auto"/>
      </w:pPr>
      <w:r>
        <w:rPr>
          <w:b/>
          <w:bCs/>
        </w:rPr>
        <w:t xml:space="preserve">Internal review queue — </w:t>
      </w:r>
      <w:r>
        <w:t>TCA Compliance and Operations see new submissions in the admin UI with screening results pre-attached, can request additional information from the applicant via a secure message thread tied to the CAR, and capture an approve / decline / conditional decision with a mandatory rationale field.</w:t>
      </w:r>
    </w:p>
    <w:p w14:paraId="3E341D12" w14:textId="77777777" w:rsidR="00194C8C" w:rsidRDefault="00000000">
      <w:pPr>
        <w:pStyle w:val="ListParagraph"/>
        <w:numPr>
          <w:ilvl w:val="0"/>
          <w:numId w:val="2"/>
        </w:numPr>
        <w:spacing w:after="80" w:line="280" w:lineRule="auto"/>
      </w:pPr>
      <w:r>
        <w:rPr>
          <w:b/>
          <w:bCs/>
        </w:rPr>
        <w:t xml:space="preserve">Risk Engine and R&amp;I Reference Engine handoff — </w:t>
      </w:r>
      <w:r>
        <w:t xml:space="preserve">On acceptance, the CAR generates a </w:t>
      </w:r>
      <w:proofErr w:type="gramStart"/>
      <w:r>
        <w:t>Client</w:t>
      </w:r>
      <w:proofErr w:type="gramEnd"/>
      <w:r>
        <w:t xml:space="preserve"> ID and pushes minimal Client metadata (legal name, asset classes, engagement type) into the Risk Engine's client master and the Reference Engine's client master via the existing INT-001 through INT-007 API surface. </w:t>
      </w:r>
      <w:r w:rsidRPr="00C141E3">
        <w:rPr>
          <w:highlight w:val="yellow"/>
        </w:rPr>
        <w:t>This is the seam between onboarding and operations.</w:t>
      </w:r>
      <w:r>
        <w:t xml:space="preserve"> </w:t>
      </w:r>
      <w:r w:rsidRPr="00C141E3">
        <w:rPr>
          <w:b/>
          <w:bCs/>
          <w:i/>
          <w:iCs/>
          <w:u w:val="single"/>
        </w:rPr>
        <w:t xml:space="preserve">From the moment of acceptance forward, any project the Client submits is bound to a </w:t>
      </w:r>
      <w:proofErr w:type="gramStart"/>
      <w:r w:rsidRPr="00C141E3">
        <w:rPr>
          <w:b/>
          <w:bCs/>
          <w:i/>
          <w:iCs/>
          <w:u w:val="single"/>
        </w:rPr>
        <w:t>Client</w:t>
      </w:r>
      <w:proofErr w:type="gramEnd"/>
      <w:r w:rsidRPr="00C141E3">
        <w:rPr>
          <w:b/>
          <w:bCs/>
          <w:i/>
          <w:iCs/>
          <w:u w:val="single"/>
        </w:rPr>
        <w:t xml:space="preserve"> ID that resolves back to a complete onboarding record.</w:t>
      </w:r>
    </w:p>
    <w:p w14:paraId="704C0EA2" w14:textId="77777777" w:rsidR="00194C8C" w:rsidRDefault="00000000">
      <w:pPr>
        <w:pStyle w:val="ListParagraph"/>
        <w:numPr>
          <w:ilvl w:val="0"/>
          <w:numId w:val="2"/>
        </w:numPr>
        <w:spacing w:after="80" w:line="280" w:lineRule="auto"/>
      </w:pPr>
      <w:r>
        <w:rPr>
          <w:b/>
          <w:bCs/>
        </w:rPr>
        <w:t xml:space="preserve">Back-office </w:t>
      </w:r>
      <w:proofErr w:type="gramStart"/>
      <w:r>
        <w:rPr>
          <w:b/>
          <w:bCs/>
        </w:rPr>
        <w:t>accounting —</w:t>
      </w:r>
      <w:proofErr w:type="gramEnd"/>
      <w:r>
        <w:rPr>
          <w:b/>
          <w:bCs/>
        </w:rPr>
        <w:t xml:space="preserve"> </w:t>
      </w:r>
      <w:r>
        <w:t xml:space="preserve">On acceptance, the CAR also generates a customer record in TCA's accounting and billing system (recommended: QuickBooks Online for early stage, Stripe or Mercury for payments; or a purpose-built finance stack if the </w:t>
      </w:r>
      <w:proofErr w:type="gramStart"/>
      <w:r>
        <w:t>Principal</w:t>
      </w:r>
      <w:proofErr w:type="gramEnd"/>
      <w:r>
        <w:t xml:space="preserve"> prefers). The minimum push is legal name, billing contact, billing address, EIN, engagement type, and fee template. AR, invoicing, and revenue recognition then run from the accounting system, not the intake system. The intake system is the system of record for who the Client is; the accounting system is the system of record for what the Client owes.</w:t>
      </w:r>
    </w:p>
    <w:p w14:paraId="30DA478D" w14:textId="77777777" w:rsidR="00194C8C" w:rsidRDefault="00000000">
      <w:pPr>
        <w:pStyle w:val="Heading2"/>
      </w:pPr>
      <w:proofErr w:type="gramStart"/>
      <w:r>
        <w:t>5.5  Audit</w:t>
      </w:r>
      <w:proofErr w:type="gramEnd"/>
      <w:r>
        <w:t xml:space="preserve"> Log and Records Retention</w:t>
      </w:r>
    </w:p>
    <w:p w14:paraId="40F7B8E0" w14:textId="77777777" w:rsidR="00194C8C" w:rsidRDefault="00000000">
      <w:pPr>
        <w:spacing w:after="120" w:line="300" w:lineRule="auto"/>
      </w:pPr>
      <w:r>
        <w:t xml:space="preserve">The audit log mirrors the design used in the Risk Engine: append-only, timestamped, identity-stamped, and </w:t>
      </w:r>
      <w:proofErr w:type="spellStart"/>
      <w:r>
        <w:t>queryable</w:t>
      </w:r>
      <w:proofErr w:type="spellEnd"/>
      <w:r>
        <w:t xml:space="preserve">. Every state change on a CAR — field edit during draft, document upload, consent acceptance, submission, screening result attached, internal review decision, status change — generates an </w:t>
      </w:r>
      <w:proofErr w:type="spellStart"/>
      <w:r>
        <w:t>audit_event</w:t>
      </w:r>
      <w:proofErr w:type="spellEnd"/>
      <w:r>
        <w:t xml:space="preserve"> row. Documents stored in R2 are immutable for the retention window via object lock; their integrity is verified by SHA-256 hash recorded at upload. The retention schedule is the SEC 5-year minimum extended to TCA's chosen 7-year practice, consistent with the rest of the technology architecture, and aligned to the Information Security Policy that the Technology Strategy memo identified as a 60-day deliverable.</w:t>
      </w:r>
    </w:p>
    <w:p w14:paraId="405C1789" w14:textId="77777777" w:rsidR="00C141E3" w:rsidRDefault="00C141E3">
      <w:pPr>
        <w:spacing w:after="120" w:line="300" w:lineRule="auto"/>
      </w:pPr>
    </w:p>
    <w:p w14:paraId="7A7C3C3E" w14:textId="77777777" w:rsidR="00194C8C" w:rsidRDefault="00000000">
      <w:pPr>
        <w:pStyle w:val="Heading1"/>
      </w:pPr>
      <w:r>
        <w:lastRenderedPageBreak/>
        <w:t>6</w:t>
      </w:r>
      <w:proofErr w:type="gramStart"/>
      <w:r>
        <w:t>.  Security</w:t>
      </w:r>
      <w:proofErr w:type="gramEnd"/>
      <w:r>
        <w:t xml:space="preserve"> and Privacy — A First-Class Concern</w:t>
      </w:r>
    </w:p>
    <w:p w14:paraId="0B2012AF" w14:textId="77777777" w:rsidR="00194C8C" w:rsidRDefault="00000000">
      <w:pPr>
        <w:spacing w:after="120" w:line="300" w:lineRule="auto"/>
      </w:pPr>
      <w:r w:rsidRPr="00C141E3">
        <w:rPr>
          <w:highlight w:val="yellow"/>
        </w:rPr>
        <w:t>The intake form is the single most attractive attack surface in the TCA technology estate.</w:t>
      </w:r>
      <w:r>
        <w:t xml:space="preserve"> It is publicly </w:t>
      </w:r>
      <w:proofErr w:type="gramStart"/>
      <w:r>
        <w:t>accessible by definition, it</w:t>
      </w:r>
      <w:proofErr w:type="gramEnd"/>
      <w:r>
        <w:t xml:space="preserve"> collects sensitive personal data, and a successful compromise gives the attacker high-trust information — beneficial ownership, tax IDs, scanned identity documents — that </w:t>
      </w:r>
      <w:proofErr w:type="gramStart"/>
      <w:r>
        <w:t>has</w:t>
      </w:r>
      <w:proofErr w:type="gramEnd"/>
      <w:r>
        <w:t xml:space="preserve"> direct fraud and identity-theft utility. The security posture must be designed accordingly, and the design must precede the build.</w:t>
      </w:r>
    </w:p>
    <w:p w14:paraId="6879764C" w14:textId="77777777" w:rsidR="00194C8C" w:rsidRDefault="00000000">
      <w:pPr>
        <w:pStyle w:val="Heading2"/>
      </w:pPr>
      <w:proofErr w:type="gramStart"/>
      <w:r>
        <w:t>6.1  Defensive</w:t>
      </w:r>
      <w:proofErr w:type="gramEnd"/>
      <w:r>
        <w:t xml:space="preserve"> Controls</w:t>
      </w:r>
    </w:p>
    <w:p w14:paraId="16BC40B1" w14:textId="77777777" w:rsidR="00194C8C" w:rsidRDefault="00000000">
      <w:pPr>
        <w:pStyle w:val="ListParagraph"/>
        <w:numPr>
          <w:ilvl w:val="0"/>
          <w:numId w:val="2"/>
        </w:numPr>
        <w:spacing w:after="80" w:line="280" w:lineRule="auto"/>
      </w:pPr>
      <w:r>
        <w:t>TLS 1.3 enforced across all intake endpoints, HSTS preload, no mixed content.</w:t>
      </w:r>
    </w:p>
    <w:p w14:paraId="4F0A7C2C" w14:textId="77777777" w:rsidR="00194C8C" w:rsidRDefault="00000000">
      <w:pPr>
        <w:pStyle w:val="ListParagraph"/>
        <w:numPr>
          <w:ilvl w:val="0"/>
          <w:numId w:val="2"/>
        </w:numPr>
        <w:spacing w:after="80" w:line="280" w:lineRule="auto"/>
      </w:pPr>
      <w:r>
        <w:t>Web Application Firewall (Cloudflare or equivalent) in front of the intake API, with managed rule sets and rate limiting.</w:t>
      </w:r>
    </w:p>
    <w:p w14:paraId="604A94D3" w14:textId="77777777" w:rsidR="00194C8C" w:rsidRDefault="00000000">
      <w:pPr>
        <w:pStyle w:val="ListParagraph"/>
        <w:numPr>
          <w:ilvl w:val="0"/>
          <w:numId w:val="2"/>
        </w:numPr>
        <w:spacing w:after="80" w:line="280" w:lineRule="auto"/>
      </w:pPr>
      <w:r>
        <w:t xml:space="preserve">Bot protection (Turnstile or </w:t>
      </w:r>
      <w:proofErr w:type="spellStart"/>
      <w:r>
        <w:t>hCaptcha</w:t>
      </w:r>
      <w:proofErr w:type="spellEnd"/>
      <w:r>
        <w:t>) at the start of the wizard and again at submission; not at every step (friction).</w:t>
      </w:r>
    </w:p>
    <w:p w14:paraId="283C519F" w14:textId="77777777" w:rsidR="00194C8C" w:rsidRDefault="00000000">
      <w:pPr>
        <w:pStyle w:val="ListParagraph"/>
        <w:numPr>
          <w:ilvl w:val="0"/>
          <w:numId w:val="2"/>
        </w:numPr>
        <w:spacing w:after="80" w:line="280" w:lineRule="auto"/>
      </w:pPr>
      <w:r>
        <w:t>Strict Content Security Policy on the SPA: no inline scripts, no eval, restricted connect-</w:t>
      </w:r>
      <w:proofErr w:type="spellStart"/>
      <w:r>
        <w:t>src</w:t>
      </w:r>
      <w:proofErr w:type="spellEnd"/>
      <w:r>
        <w:t>.</w:t>
      </w:r>
    </w:p>
    <w:p w14:paraId="2D141AFA" w14:textId="77777777" w:rsidR="00194C8C" w:rsidRDefault="00000000">
      <w:pPr>
        <w:pStyle w:val="ListParagraph"/>
        <w:numPr>
          <w:ilvl w:val="0"/>
          <w:numId w:val="2"/>
        </w:numPr>
        <w:spacing w:after="80" w:line="280" w:lineRule="auto"/>
      </w:pPr>
      <w:r>
        <w:t>Input validation and output encoding across the API; parameterized queries only — no string concatenation against PostgreSQL.</w:t>
      </w:r>
    </w:p>
    <w:p w14:paraId="775BB6F8" w14:textId="77777777" w:rsidR="00194C8C" w:rsidRDefault="00000000">
      <w:pPr>
        <w:pStyle w:val="ListParagraph"/>
        <w:numPr>
          <w:ilvl w:val="0"/>
          <w:numId w:val="2"/>
        </w:numPr>
        <w:spacing w:after="80" w:line="280" w:lineRule="auto"/>
      </w:pPr>
      <w:r>
        <w:t xml:space="preserve">File upload restrictions: type allowlist (PDF, JPG, PNG), magic-byte verification (not just MIME), maximum size, virus scan via </w:t>
      </w:r>
      <w:proofErr w:type="spellStart"/>
      <w:r>
        <w:t>ClamAV</w:t>
      </w:r>
      <w:proofErr w:type="spellEnd"/>
      <w:r>
        <w:t xml:space="preserve"> or hosted equivalent before R2 write.</w:t>
      </w:r>
    </w:p>
    <w:p w14:paraId="1487333F" w14:textId="77777777" w:rsidR="00194C8C" w:rsidRDefault="00000000">
      <w:pPr>
        <w:pStyle w:val="ListParagraph"/>
        <w:numPr>
          <w:ilvl w:val="0"/>
          <w:numId w:val="2"/>
        </w:numPr>
        <w:spacing w:after="80" w:line="280" w:lineRule="auto"/>
      </w:pPr>
      <w:r>
        <w:t>Field-level encryption at rest for the highest-sensitivity fields (EIN, SSN, DOB) using a KMS-managed key; database-level encryption for everything else.</w:t>
      </w:r>
    </w:p>
    <w:p w14:paraId="21C5A1C6" w14:textId="77777777" w:rsidR="00194C8C" w:rsidRDefault="00000000">
      <w:pPr>
        <w:pStyle w:val="ListParagraph"/>
        <w:numPr>
          <w:ilvl w:val="0"/>
          <w:numId w:val="2"/>
        </w:numPr>
        <w:spacing w:after="80" w:line="280" w:lineRule="auto"/>
      </w:pPr>
      <w:r>
        <w:t>Secrets management: no credentials in source; environment variables loaded from a secrets vault; rotation policy documented.</w:t>
      </w:r>
    </w:p>
    <w:p w14:paraId="35DBF103" w14:textId="77777777" w:rsidR="00194C8C" w:rsidRDefault="00000000">
      <w:pPr>
        <w:pStyle w:val="Heading2"/>
      </w:pPr>
      <w:proofErr w:type="gramStart"/>
      <w:r>
        <w:t>6.2  Privacy</w:t>
      </w:r>
      <w:proofErr w:type="gramEnd"/>
      <w:r>
        <w:t xml:space="preserve"> Posture</w:t>
      </w:r>
    </w:p>
    <w:p w14:paraId="51B9CFE3" w14:textId="77777777" w:rsidR="00194C8C" w:rsidRDefault="00000000">
      <w:pPr>
        <w:spacing w:after="120" w:line="300" w:lineRule="auto"/>
      </w:pPr>
      <w:r>
        <w:t>The intake system collects Nonpublic Personal Information (NPI) within the meaning of Regulation S-P. The privacy posture has three required elements. First, the initial privacy notice is delivered before or at the point of NPI collection, with a copy retained as part of the consent record. Second, NPI is access-controlled within TCA — Compliance and Operations staff can see the records they need; Risk and R&amp;I staff see only the post-acceptance Client metadata that the Risk Engine and Reference Engine consume, not the raw onboarding submission. Third, a data subject access request (DSAR) handler is built into the admin UI from day one — for California Consumer Privacy Act, GDPR-equivalents where applicable, and good practice generally. "We will build a DSAR process when someone asks" is not an acceptable answer for a regulated adviser.</w:t>
      </w:r>
    </w:p>
    <w:p w14:paraId="60692276" w14:textId="77777777" w:rsidR="00194C8C" w:rsidRDefault="00000000">
      <w:pPr>
        <w:pStyle w:val="Heading2"/>
      </w:pPr>
      <w:proofErr w:type="gramStart"/>
      <w:r>
        <w:t>6.3  Adversarial</w:t>
      </w:r>
      <w:proofErr w:type="gramEnd"/>
      <w:r>
        <w:t xml:space="preserve"> and Abuse Scenarios</w:t>
      </w:r>
    </w:p>
    <w:p w14:paraId="3C5BF165" w14:textId="77777777" w:rsidR="00194C8C" w:rsidRDefault="00000000">
      <w:pPr>
        <w:spacing w:after="120" w:line="300" w:lineRule="auto"/>
      </w:pPr>
      <w:r>
        <w:t>The form must be designed against three adversarial scenarios, not just "someone fills it out wrong."</w:t>
      </w:r>
    </w:p>
    <w:p w14:paraId="2E487214" w14:textId="77777777" w:rsidR="00194C8C" w:rsidRDefault="00000000">
      <w:pPr>
        <w:pStyle w:val="ListParagraph"/>
        <w:numPr>
          <w:ilvl w:val="0"/>
          <w:numId w:val="2"/>
        </w:numPr>
        <w:spacing w:after="80" w:line="280" w:lineRule="auto"/>
      </w:pPr>
      <w:r>
        <w:rPr>
          <w:b/>
          <w:bCs/>
        </w:rPr>
        <w:t xml:space="preserve">Bulk automated submission — </w:t>
      </w:r>
      <w:r>
        <w:t>an attacker scripts the form to submit thousands of fake applications, either to exhaust review capacity or to test for response leakage. Bot protection, rate limiting, and behavioral signals (time-to-complete, paste detection) all play here.</w:t>
      </w:r>
    </w:p>
    <w:p w14:paraId="2C4D408F" w14:textId="77777777" w:rsidR="00194C8C" w:rsidRDefault="00000000">
      <w:pPr>
        <w:pStyle w:val="ListParagraph"/>
        <w:numPr>
          <w:ilvl w:val="0"/>
          <w:numId w:val="2"/>
        </w:numPr>
        <w:spacing w:after="80" w:line="280" w:lineRule="auto"/>
      </w:pPr>
      <w:r>
        <w:rPr>
          <w:b/>
          <w:bCs/>
        </w:rPr>
        <w:lastRenderedPageBreak/>
        <w:t xml:space="preserve">Identity laundering — </w:t>
      </w:r>
      <w:r>
        <w:t xml:space="preserve">an attacker uses real identity data of an unrelated party to </w:t>
      </w:r>
      <w:proofErr w:type="gramStart"/>
      <w:r>
        <w:t>submit an application</w:t>
      </w:r>
      <w:proofErr w:type="gramEnd"/>
      <w:r>
        <w:t>, hoping to onboard under a false identity. The sanctions/KYC provider plus document liveness checks plus the manual review queue are the controls here. The form alone cannot defeat this; the review process must.</w:t>
      </w:r>
    </w:p>
    <w:p w14:paraId="2AB278E1" w14:textId="77777777" w:rsidR="00194C8C" w:rsidRDefault="00000000">
      <w:pPr>
        <w:pStyle w:val="ListParagraph"/>
        <w:numPr>
          <w:ilvl w:val="0"/>
          <w:numId w:val="2"/>
        </w:numPr>
        <w:spacing w:after="80" w:line="280" w:lineRule="auto"/>
      </w:pPr>
      <w:r>
        <w:rPr>
          <w:b/>
          <w:bCs/>
        </w:rPr>
        <w:t xml:space="preserve">Injection-style attacks — </w:t>
      </w:r>
      <w:r>
        <w:t>an attacker submits crafted input intended to compromise downstream systems (SQL, XSS, SSRF via webhook URLs, ZIP bombs in document uploads, template injection in any text-rendering pipeline). Server-side validation, parameterized queries, file-content verification, and a hardened API are the controls.</w:t>
      </w:r>
    </w:p>
    <w:p w14:paraId="1BD41BCB" w14:textId="77777777" w:rsidR="00194C8C" w:rsidRDefault="00000000">
      <w:pPr>
        <w:pStyle w:val="Heading2"/>
      </w:pPr>
      <w:proofErr w:type="gramStart"/>
      <w:r>
        <w:t>6.4  Penetration</w:t>
      </w:r>
      <w:proofErr w:type="gramEnd"/>
      <w:r>
        <w:t xml:space="preserve"> Testing</w:t>
      </w:r>
    </w:p>
    <w:p w14:paraId="333AFC3C" w14:textId="77777777" w:rsidR="00194C8C" w:rsidRDefault="00000000">
      <w:pPr>
        <w:spacing w:after="120" w:line="300" w:lineRule="auto"/>
      </w:pPr>
      <w:r>
        <w:t>Before the intake system goes live and accepts a single real application, an external penetration test of the SPA, the API, and the file upload pipeline must be completed by a qualified third party. This is consistent with the Technology Strategy memo's identification of penetration testing as one of the human-expertise checkpoints in the Claude-assisted build model. The test should specifically include automated and manual testing for OWASP Top 10, file upload abuse, authentication bypass on magic-link sessions, IDOR on CAR retrieval, and injection on the screening webhook handler. The test report and the remediation log are part of the regulatory record.</w:t>
      </w:r>
    </w:p>
    <w:p w14:paraId="78EB5A31" w14:textId="77777777" w:rsidR="00194C8C" w:rsidRDefault="00000000">
      <w:pPr>
        <w:pStyle w:val="Heading1"/>
      </w:pPr>
      <w:r>
        <w:t>7</w:t>
      </w:r>
      <w:proofErr w:type="gramStart"/>
      <w:r>
        <w:t>.  Build</w:t>
      </w:r>
      <w:proofErr w:type="gramEnd"/>
      <w:r>
        <w:t xml:space="preserve"> Approach</w:t>
      </w:r>
    </w:p>
    <w:p w14:paraId="77F0062E" w14:textId="77777777" w:rsidR="00194C8C" w:rsidRDefault="00000000">
      <w:pPr>
        <w:pStyle w:val="Heading2"/>
      </w:pPr>
      <w:proofErr w:type="gramStart"/>
      <w:r>
        <w:t>7.1  Build</w:t>
      </w:r>
      <w:proofErr w:type="gramEnd"/>
      <w:r>
        <w:t xml:space="preserve"> Model and Governance</w:t>
      </w:r>
    </w:p>
    <w:p w14:paraId="4E2A00A1" w14:textId="77777777" w:rsidR="00194C8C" w:rsidRDefault="00000000">
      <w:pPr>
        <w:spacing w:after="120" w:line="300" w:lineRule="auto"/>
      </w:pPr>
      <w:r>
        <w:t xml:space="preserve">The build follows the 2678 Holdings technology delivery model that governs the Risk Engine and the R&amp;I Reference Engine. The </w:t>
      </w:r>
      <w:proofErr w:type="gramStart"/>
      <w:r>
        <w:t>Principal</w:t>
      </w:r>
      <w:proofErr w:type="gramEnd"/>
      <w:r>
        <w:t xml:space="preserve"> is product owner. Claude (Anthropic), within the 2678 Framework, is the primary builder — generating application architecture, schema, server and client code, automated tests, and documentation. A Senior Systems Engineer is engaged on a part-time basis for infrastructure provisioning, security configuration, code review, deployment, and the pre-production review checkpoint. The Chief Compliance Officer (or, in the interim, the </w:t>
      </w:r>
      <w:proofErr w:type="gramStart"/>
      <w:r>
        <w:t>Principal</w:t>
      </w:r>
      <w:proofErr w:type="gramEnd"/>
      <w:r>
        <w:t xml:space="preserve"> acting in that role) governs the consent text, the screening provider selection, and the records retention schedule.</w:t>
      </w:r>
    </w:p>
    <w:p w14:paraId="3C670C50" w14:textId="77777777" w:rsidR="00194C8C" w:rsidRDefault="00000000">
      <w:pPr>
        <w:spacing w:after="120" w:line="300" w:lineRule="auto"/>
      </w:pPr>
      <w:r>
        <w:t>Two governance disciplines from the Technology Strategy memo apply with full force. First, every significant development session begins with a precise functional specification, not a general request; the quality of specification directly determines the quality of output. Second, a change log is maintained documenting what was built, when, and why. This is engineering hygiene and it is also part of the system documentation a regulator may examine.</w:t>
      </w:r>
    </w:p>
    <w:p w14:paraId="58501B26" w14:textId="77777777" w:rsidR="00194C8C" w:rsidRDefault="00000000">
      <w:pPr>
        <w:pStyle w:val="Heading2"/>
      </w:pPr>
      <w:proofErr w:type="gramStart"/>
      <w:r>
        <w:t>7.2  Phased</w:t>
      </w:r>
      <w:proofErr w:type="gramEnd"/>
      <w:r>
        <w:t xml:space="preserve"> Build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6160"/>
      </w:tblGrid>
      <w:tr w:rsidR="00194C8C" w14:paraId="417E1E51"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42E6297" w14:textId="77777777" w:rsidR="00194C8C" w:rsidRDefault="00000000">
            <w:r>
              <w:rPr>
                <w:b/>
                <w:bCs/>
              </w:rPr>
              <w:t>Phase</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288EFE7" w14:textId="77777777" w:rsidR="00194C8C" w:rsidRDefault="00000000">
            <w:r>
              <w:rPr>
                <w:b/>
                <w:bCs/>
              </w:rPr>
              <w:t>Timeline</w:t>
            </w:r>
          </w:p>
        </w:tc>
        <w:tc>
          <w:tcPr>
            <w:tcW w:w="61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A6861D5" w14:textId="77777777" w:rsidR="00194C8C" w:rsidRDefault="00000000">
            <w:r>
              <w:rPr>
                <w:b/>
                <w:bCs/>
              </w:rPr>
              <w:t>Deliverables</w:t>
            </w:r>
          </w:p>
        </w:tc>
      </w:tr>
      <w:tr w:rsidR="00194C8C" w14:paraId="23B421C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5DDF85" w14:textId="77777777" w:rsidR="00194C8C" w:rsidRDefault="00000000">
            <w:r>
              <w:t>Phase 0 — Specification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4BFD8" w14:textId="77777777" w:rsidR="00194C8C" w:rsidRDefault="00000000">
            <w:r>
              <w:t>Weeks 1–3</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082BB" w14:textId="77777777" w:rsidR="00194C8C" w:rsidRDefault="00000000">
            <w:r>
              <w:t xml:space="preserve">Functional specification (this memorandum extended into a Technical Requirements Document, TCA-TRD-2026-INTAKE-001); consent text drafted by outside counsel; KYC/screening provider </w:t>
            </w:r>
            <w:r>
              <w:lastRenderedPageBreak/>
              <w:t>shortlisted; data model finalized; engagement letter and Privacy Notice drafted.</w:t>
            </w:r>
          </w:p>
        </w:tc>
      </w:tr>
      <w:tr w:rsidR="00194C8C" w14:paraId="2DB607D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8124C3" w14:textId="77777777" w:rsidR="00194C8C" w:rsidRDefault="00000000">
            <w:r>
              <w:lastRenderedPageBreak/>
              <w:t>Phase 1 — Foundation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6C39A4" w14:textId="77777777" w:rsidR="00194C8C" w:rsidRDefault="00000000">
            <w:r>
              <w:t>Weeks 3–6</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BF22A" w14:textId="77777777" w:rsidR="00194C8C" w:rsidRDefault="00000000">
            <w:r>
              <w:t>Subdomain DNS and TLS configured; PostgreSQL schema created; baseline Express API with auth, audit log, and draft persistence; React SPA skeleton with the multi-step wizard navigation and accessibility patterns established. No real data flows yet.</w:t>
            </w:r>
          </w:p>
        </w:tc>
      </w:tr>
      <w:tr w:rsidR="00194C8C" w14:paraId="76B816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7304D" w14:textId="77777777" w:rsidR="00194C8C" w:rsidRDefault="00000000">
            <w:r>
              <w:t>Phase 2 — Forms &amp; Logic</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4BD1C" w14:textId="77777777" w:rsidR="00194C8C" w:rsidRDefault="00000000">
            <w:r>
              <w:t>Weeks 5–10</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7AB6B" w14:textId="77777777" w:rsidR="00194C8C" w:rsidRDefault="00000000">
            <w:r>
              <w:t>All four field groups built end-to-end with validation, sanitization, conditional logic, save-and-resume, and document upload to R2. Internal review UI built for Compliance.</w:t>
            </w:r>
          </w:p>
        </w:tc>
      </w:tr>
      <w:tr w:rsidR="00194C8C" w14:paraId="440BB2A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CF13A" w14:textId="77777777" w:rsidR="00194C8C" w:rsidRDefault="00000000">
            <w:r>
              <w:t>Phase 3 — Screening &amp; Integration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FF02C8" w14:textId="77777777" w:rsidR="00194C8C" w:rsidRDefault="00000000">
            <w:r>
              <w:t>Weeks 9–13</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1A7BC9" w14:textId="77777777" w:rsidR="00194C8C" w:rsidRDefault="00000000">
            <w:r>
              <w:t>KYC/sanctions provider integrated; webhook handling hardened; Risk Engine and Reference Engine client-master handoff via INT-001/-007; accounting system push (QBO or selected equivalent).</w:t>
            </w:r>
          </w:p>
        </w:tc>
      </w:tr>
      <w:tr w:rsidR="00194C8C" w14:paraId="225B02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161F9" w14:textId="77777777" w:rsidR="00194C8C" w:rsidRDefault="00000000">
            <w:r>
              <w:t>Phase 4 — Testing &amp; Hardening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A854DC" w14:textId="77777777" w:rsidR="00194C8C" w:rsidRDefault="00000000">
            <w:r>
              <w:t>Weeks 12–16</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CC8018" w14:textId="77777777" w:rsidR="00194C8C" w:rsidRDefault="00000000">
            <w:r>
              <w:t>Full QA pass (Section 8 below), external penetration test, accessibility audit, load test, dry-run with synthetic and Principal-supplied test applications, remediation cycle.</w:t>
            </w:r>
          </w:p>
        </w:tc>
      </w:tr>
      <w:tr w:rsidR="00194C8C" w14:paraId="42BE38A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98E35" w14:textId="77777777" w:rsidR="00194C8C" w:rsidRDefault="00000000">
            <w:r>
              <w:t>Phase 5 — Soft Launch</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142FA" w14:textId="77777777" w:rsidR="00194C8C" w:rsidRDefault="00000000">
            <w:r>
              <w:t>Weeks 16–18</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831B61" w14:textId="77777777" w:rsidR="00194C8C" w:rsidRDefault="00000000">
            <w:r>
              <w:t>Production deployment under a restricted-access banner; first real applications accepted from a small, named cohort (e.g., friendly counterparties from the existing TCA pipeline); operational issues triaged; documentation finalized.</w:t>
            </w:r>
          </w:p>
        </w:tc>
      </w:tr>
      <w:tr w:rsidR="00194C8C" w14:paraId="178B45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90EF8F" w14:textId="77777777" w:rsidR="00194C8C" w:rsidRDefault="00000000">
            <w:r>
              <w:t>Phase 6 — General Availability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4308F4" w14:textId="77777777" w:rsidR="00194C8C" w:rsidRDefault="00000000">
            <w:r>
              <w:t>Week 18+</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BB67D6" w14:textId="77777777" w:rsidR="00194C8C" w:rsidRDefault="00000000">
            <w:r>
              <w:t xml:space="preserve">Public link added to the TCA marketing site; monitoring dashboards; on-call </w:t>
            </w:r>
            <w:proofErr w:type="spellStart"/>
            <w:r>
              <w:t>rota</w:t>
            </w:r>
            <w:proofErr w:type="spellEnd"/>
            <w:r>
              <w:t xml:space="preserve"> for the API and the screening provider integration; quarterly review cadence established.</w:t>
            </w:r>
          </w:p>
        </w:tc>
      </w:tr>
    </w:tbl>
    <w:p w14:paraId="54F60149" w14:textId="77777777" w:rsidR="00194C8C" w:rsidRDefault="00000000">
      <w:pPr>
        <w:pStyle w:val="Heading2"/>
      </w:pPr>
      <w:proofErr w:type="gramStart"/>
      <w:r>
        <w:t>7.3  Specification</w:t>
      </w:r>
      <w:proofErr w:type="gramEnd"/>
      <w:r>
        <w:t xml:space="preserve"> as the Critical Input</w:t>
      </w:r>
    </w:p>
    <w:p w14:paraId="7C9C39CA" w14:textId="77777777" w:rsidR="00194C8C" w:rsidRDefault="00000000">
      <w:pPr>
        <w:spacing w:after="120" w:line="300" w:lineRule="auto"/>
      </w:pPr>
      <w:r>
        <w:t xml:space="preserve">This memorandum is the strategic specification. Before Phase 1 begins, it should be extended into a full Technical Requirements Document (TCA-TRD-2026-INTAKE-001) following the same template as TCA-TRD-2026-RI-001 (R&amp;I Reference Engine). The TRD captures functional requirements, non-functional requirements (latency, availability, accessibility), the complete data model, every API endpoint contract, every consent text version, the screening provider integration contract, and the acceptance criteria for production launch. Claude's effectiveness as builder is </w:t>
      </w:r>
      <w:proofErr w:type="gramStart"/>
      <w:r>
        <w:t>bounded</w:t>
      </w:r>
      <w:proofErr w:type="gramEnd"/>
      <w:r>
        <w:t xml:space="preserve"> by the specification; the TRD is the boundary.</w:t>
      </w:r>
    </w:p>
    <w:p w14:paraId="1061E648" w14:textId="77777777" w:rsidR="00194C8C" w:rsidRDefault="00000000">
      <w:pPr>
        <w:pStyle w:val="Heading1"/>
      </w:pPr>
      <w:r>
        <w:t>8</w:t>
      </w:r>
      <w:proofErr w:type="gramStart"/>
      <w:r>
        <w:t>.  Testing</w:t>
      </w:r>
      <w:proofErr w:type="gramEnd"/>
      <w:r>
        <w:t xml:space="preserve"> Strategy</w:t>
      </w:r>
    </w:p>
    <w:p w14:paraId="16CC2137" w14:textId="77777777" w:rsidR="00194C8C" w:rsidRDefault="00000000">
      <w:pPr>
        <w:spacing w:after="120" w:line="300" w:lineRule="auto"/>
      </w:pPr>
      <w:r>
        <w:t xml:space="preserve">Testing the intake system is not a single activity but a layered </w:t>
      </w:r>
      <w:proofErr w:type="spellStart"/>
      <w:r>
        <w:t>programme</w:t>
      </w:r>
      <w:proofErr w:type="spellEnd"/>
      <w:r>
        <w:t>. Each layer answers a different question, and each layer must be planned and budgeted in advance.</w:t>
      </w:r>
    </w:p>
    <w:p w14:paraId="3022F247" w14:textId="77777777" w:rsidR="00194C8C" w:rsidRDefault="00000000">
      <w:pPr>
        <w:pStyle w:val="Heading2"/>
      </w:pPr>
      <w:proofErr w:type="gramStart"/>
      <w:r>
        <w:t>8.1  Unit</w:t>
      </w:r>
      <w:proofErr w:type="gramEnd"/>
      <w:r>
        <w:t xml:space="preserve"> and Integration Testing</w:t>
      </w:r>
    </w:p>
    <w:p w14:paraId="47B56994" w14:textId="77777777" w:rsidR="00194C8C" w:rsidRDefault="00000000">
      <w:pPr>
        <w:spacing w:after="120" w:line="300" w:lineRule="auto"/>
      </w:pPr>
      <w:r>
        <w:lastRenderedPageBreak/>
        <w:t xml:space="preserve">Unit tests cover every validation rule, every conditional-field rule, every audit-log write, and every screening-result handler. They run in CI on every commit; a target of ≥ </w:t>
      </w:r>
      <w:proofErr w:type="gramStart"/>
      <w:r>
        <w:t>80% line</w:t>
      </w:r>
      <w:proofErr w:type="gramEnd"/>
      <w:r>
        <w:t xml:space="preserve"> coverage is reasonable for a system of this scope. Integration tests cover the full submission flow against a containerized PostgreSQL, a mocked screening provider, and a mocked R2. They verify the seam between layers — that a submitted CAR produces the correct screening job, the correct accounting push, and the correct audit log entries.</w:t>
      </w:r>
    </w:p>
    <w:p w14:paraId="15A0402A" w14:textId="77777777" w:rsidR="00194C8C" w:rsidRDefault="00000000">
      <w:pPr>
        <w:pStyle w:val="Heading2"/>
      </w:pPr>
      <w:proofErr w:type="gramStart"/>
      <w:r>
        <w:t>8.2  End</w:t>
      </w:r>
      <w:proofErr w:type="gramEnd"/>
      <w:r>
        <w:t>-to-End Testing</w:t>
      </w:r>
    </w:p>
    <w:p w14:paraId="3FCA463A" w14:textId="77777777" w:rsidR="00194C8C" w:rsidRDefault="00000000">
      <w:pPr>
        <w:spacing w:after="120" w:line="300" w:lineRule="auto"/>
      </w:pPr>
      <w:r>
        <w:t>E2E tests, using Playwright or Cypress, walk through every applicant path: natural person, U.S. entity, non-U.S. entity, fund, multi-beneficial-owner, abandoned-then-resumed, conflict-flagged. Each path produces a deterministic final state in the database, which the test asserts. E2E tests are the single most important defense against silent regressions on a form this complex.</w:t>
      </w:r>
    </w:p>
    <w:p w14:paraId="4DF4F709" w14:textId="77777777" w:rsidR="00194C8C" w:rsidRDefault="00000000">
      <w:pPr>
        <w:pStyle w:val="Heading2"/>
      </w:pPr>
      <w:proofErr w:type="gramStart"/>
      <w:r>
        <w:t>8.3  Security</w:t>
      </w:r>
      <w:proofErr w:type="gramEnd"/>
      <w:r>
        <w:t xml:space="preserve"> Testing</w:t>
      </w:r>
    </w:p>
    <w:p w14:paraId="49B5F78D" w14:textId="77777777" w:rsidR="00194C8C" w:rsidRDefault="00000000">
      <w:pPr>
        <w:spacing w:after="120" w:line="300" w:lineRule="auto"/>
      </w:pPr>
      <w:r>
        <w:t xml:space="preserve">Three layers of security testing are required. First, automated SAST (static analysis) and dependency scanning in CI — a vulnerable </w:t>
      </w:r>
      <w:proofErr w:type="spellStart"/>
      <w:r>
        <w:t>npm</w:t>
      </w:r>
      <w:proofErr w:type="spellEnd"/>
      <w:r>
        <w:t xml:space="preserve"> package in the SPA can be as damaging as a server-side bug. Second, automated DAST (dynamic analysis) against </w:t>
      </w:r>
      <w:proofErr w:type="gramStart"/>
      <w:r>
        <w:t>a staging</w:t>
      </w:r>
      <w:proofErr w:type="gramEnd"/>
      <w:r>
        <w:t xml:space="preserve"> deployment, exercising the OWASP Top 10 attack surface. Third, the external penetration test </w:t>
      </w:r>
      <w:proofErr w:type="gramStart"/>
      <w:r>
        <w:t>described</w:t>
      </w:r>
      <w:proofErr w:type="gramEnd"/>
      <w:r>
        <w:t xml:space="preserve"> in Section 6.4 before production launch and at minimum annually thereafter. Findings from any of these go into a tracked remediation log.</w:t>
      </w:r>
    </w:p>
    <w:p w14:paraId="64E6A98C" w14:textId="77777777" w:rsidR="00194C8C" w:rsidRDefault="00000000">
      <w:pPr>
        <w:pStyle w:val="Heading2"/>
      </w:pPr>
      <w:proofErr w:type="gramStart"/>
      <w:r>
        <w:t>8.4  Accessibility</w:t>
      </w:r>
      <w:proofErr w:type="gramEnd"/>
      <w:r>
        <w:t xml:space="preserve"> Testing</w:t>
      </w:r>
    </w:p>
    <w:p w14:paraId="00034B16" w14:textId="77777777" w:rsidR="00194C8C" w:rsidRDefault="00000000">
      <w:pPr>
        <w:spacing w:after="120" w:line="300" w:lineRule="auto"/>
      </w:pPr>
      <w:r>
        <w:t xml:space="preserve">Automated accessibility scanning (axe-core integrated into the E2E test run) catches the structural issues — missing labels, contrast failures, ARIA misuse. A manual screen-reader test, ideally by someone who uses a screen reader as their primary mode of access rather than someone simulating it, catches </w:t>
      </w:r>
      <w:proofErr w:type="gramStart"/>
      <w:r>
        <w:t>the experiential</w:t>
      </w:r>
      <w:proofErr w:type="gramEnd"/>
      <w:r>
        <w:t xml:space="preserve"> issues. Both are required.</w:t>
      </w:r>
    </w:p>
    <w:p w14:paraId="19643BB3" w14:textId="77777777" w:rsidR="00194C8C" w:rsidRDefault="00000000">
      <w:pPr>
        <w:pStyle w:val="Heading2"/>
      </w:pPr>
      <w:proofErr w:type="gramStart"/>
      <w:r>
        <w:t>8.5  Load</w:t>
      </w:r>
      <w:proofErr w:type="gramEnd"/>
      <w:r>
        <w:t xml:space="preserve"> and Resilience Testing</w:t>
      </w:r>
    </w:p>
    <w:p w14:paraId="3552F80E" w14:textId="77777777" w:rsidR="00194C8C" w:rsidRDefault="00000000">
      <w:pPr>
        <w:spacing w:after="120" w:line="300" w:lineRule="auto"/>
      </w:pPr>
      <w:r>
        <w:t>The intake system will not face the load of a consumer e-commerce site, but it must remain available when a single piece of TCA marketing brings a spike of legitimate applicants. A load test (k6 or Artillery) at 10× the expected steady-state submission rate, plus a chaos test that disables the screening provider mid-submission to verify graceful degradation, plus a backup-and-restore drill on the application database — these are the minimum resilience checkpoints.</w:t>
      </w:r>
    </w:p>
    <w:p w14:paraId="4B02F0F6" w14:textId="77777777" w:rsidR="00194C8C" w:rsidRDefault="00000000">
      <w:pPr>
        <w:pStyle w:val="Heading2"/>
      </w:pPr>
      <w:proofErr w:type="gramStart"/>
      <w:r>
        <w:t>8.6  User</w:t>
      </w:r>
      <w:proofErr w:type="gramEnd"/>
      <w:r>
        <w:t xml:space="preserve"> Acceptance Testing</w:t>
      </w:r>
    </w:p>
    <w:p w14:paraId="4AE2F495" w14:textId="77777777" w:rsidR="00194C8C" w:rsidRDefault="00000000">
      <w:pPr>
        <w:spacing w:after="120" w:line="300" w:lineRule="auto"/>
      </w:pPr>
      <w:r>
        <w:t>Before Phase 5 soft launch, a structured UAT pass is performed with the Principal, the Compliance reviewer, and ideally one or two friendly external counterparties acting as applicants. UAT focuses on what automated tests cannot: clarity of the language, reasonableness of the friction, accuracy of the review queue presentation, and the overall feel of the experience as a first interaction between a prospective Client and TCA. UAT findings drive copy revisions, sequencing changes, and any necessary wording adjustments to consent surfaces (re-reviewed by counsel).</w:t>
      </w:r>
    </w:p>
    <w:p w14:paraId="7FCDC6CD" w14:textId="77777777" w:rsidR="00194C8C" w:rsidRDefault="00000000">
      <w:pPr>
        <w:pStyle w:val="Heading2"/>
      </w:pPr>
      <w:proofErr w:type="gramStart"/>
      <w:r>
        <w:lastRenderedPageBreak/>
        <w:t>8.7  Synthetic</w:t>
      </w:r>
      <w:proofErr w:type="gramEnd"/>
      <w:r>
        <w:t xml:space="preserve"> Submissions in Production</w:t>
      </w:r>
    </w:p>
    <w:p w14:paraId="14509C0A" w14:textId="77777777" w:rsidR="00194C8C" w:rsidRDefault="00000000">
      <w:pPr>
        <w:spacing w:after="120" w:line="300" w:lineRule="auto"/>
      </w:pPr>
      <w:r>
        <w:t>Once in production, a small set of synthetic test submissions runs daily — not exercising real screening, but verifying that the API is reachable, the database accepts writes, the audit log records correctly, and the internal review queue receives the submission. These canaries detect silent failures that would otherwise be discovered only when the next real applicant arrives.</w:t>
      </w:r>
    </w:p>
    <w:p w14:paraId="737EDEF5" w14:textId="77777777" w:rsidR="00194C8C" w:rsidRDefault="00000000">
      <w:pPr>
        <w:pStyle w:val="Heading1"/>
      </w:pPr>
      <w:r>
        <w:t>9</w:t>
      </w:r>
      <w:proofErr w:type="gramStart"/>
      <w:r>
        <w:t>.  Deployment</w:t>
      </w:r>
      <w:proofErr w:type="gramEnd"/>
      <w:r>
        <w:t>, Monitoring, and Ongoing Governance</w:t>
      </w:r>
    </w:p>
    <w:p w14:paraId="653C471A" w14:textId="77777777" w:rsidR="00194C8C" w:rsidRDefault="00000000">
      <w:pPr>
        <w:pStyle w:val="Heading2"/>
      </w:pPr>
      <w:proofErr w:type="gramStart"/>
      <w:r>
        <w:t>9.1  Deployment</w:t>
      </w:r>
      <w:proofErr w:type="gramEnd"/>
      <w:r>
        <w:t xml:space="preserve"> Pattern</w:t>
      </w:r>
    </w:p>
    <w:p w14:paraId="54809213" w14:textId="77777777" w:rsidR="00194C8C" w:rsidRDefault="00000000">
      <w:pPr>
        <w:spacing w:after="120" w:line="300" w:lineRule="auto"/>
      </w:pPr>
      <w:r>
        <w:t>Deployments are performed by the Senior Systems Engineer (</w:t>
      </w:r>
      <w:r w:rsidRPr="00F10A9B">
        <w:rPr>
          <w:highlight w:val="yellow"/>
        </w:rPr>
        <w:t xml:space="preserve">or </w:t>
      </w:r>
      <w:proofErr w:type="gramStart"/>
      <w:r w:rsidRPr="00F10A9B">
        <w:rPr>
          <w:highlight w:val="yellow"/>
        </w:rPr>
        <w:t>a documented</w:t>
      </w:r>
      <w:proofErr w:type="gramEnd"/>
      <w:r w:rsidRPr="00F10A9B">
        <w:rPr>
          <w:highlight w:val="yellow"/>
        </w:rPr>
        <w:t xml:space="preserve"> automation under their supervision</w:t>
      </w:r>
      <w:r>
        <w:t xml:space="preserve">) from a Git repository that is the single source of truth. The recommended pattern </w:t>
      </w:r>
      <w:proofErr w:type="gramStart"/>
      <w:r>
        <w:t>is:</w:t>
      </w:r>
      <w:proofErr w:type="gramEnd"/>
      <w:r>
        <w:t xml:space="preserve"> a staging environment that mirrors production at smaller scale, automated promotion of a Git tag to production after CI passes, and a manual approval step. Database migrations run as a separate, idempotent, reviewed step; never as a side effect of an application deploy. Rollback is a documented procedure — revert tag, redeploy, run inverse migration if needed — and is tested at least once per quarter.</w:t>
      </w:r>
    </w:p>
    <w:p w14:paraId="6370D6BD" w14:textId="77777777" w:rsidR="00194C8C" w:rsidRDefault="00000000">
      <w:pPr>
        <w:pStyle w:val="Heading2"/>
      </w:pPr>
      <w:proofErr w:type="gramStart"/>
      <w:r>
        <w:t>9.2  Monitoring</w:t>
      </w:r>
      <w:proofErr w:type="gramEnd"/>
      <w:r>
        <w:t xml:space="preserve"> and Alerting</w:t>
      </w:r>
    </w:p>
    <w:p w14:paraId="7AEB09D1" w14:textId="77777777" w:rsidR="00194C8C" w:rsidRDefault="00000000">
      <w:pPr>
        <w:spacing w:after="120" w:line="300" w:lineRule="auto"/>
      </w:pPr>
      <w:r>
        <w:t>Three categories of monitoring are required. Operational monitoring (API health, database availability, R2 write success, screening provider webhook reachability) feeds an alerting channel — at this scale, a Slack or email channel is appropriate, with escalation to the Principal and the Systems Engineer for any P1 alert. Application monitoring (submission rate, abandonment rate by step, error rate per endpoint, screening turnaround time) feeds a dashboard reviewed weekly. Compliance monitoring (review queue depth, time-to-decision, screening hit rate, document upload integrity verification) feeds a monthly compliance review.</w:t>
      </w:r>
    </w:p>
    <w:p w14:paraId="25E48C1E" w14:textId="77777777" w:rsidR="00194C8C" w:rsidRDefault="00000000">
      <w:pPr>
        <w:pStyle w:val="Heading2"/>
      </w:pPr>
      <w:proofErr w:type="gramStart"/>
      <w:r>
        <w:t>9.3  Change</w:t>
      </w:r>
      <w:proofErr w:type="gramEnd"/>
      <w:r>
        <w:t xml:space="preserve"> Control</w:t>
      </w:r>
    </w:p>
    <w:p w14:paraId="4BE011AC" w14:textId="77777777" w:rsidR="00194C8C" w:rsidRDefault="00000000">
      <w:pPr>
        <w:spacing w:after="120" w:line="300" w:lineRule="auto"/>
      </w:pPr>
      <w:r>
        <w:t xml:space="preserve">Three kinds of </w:t>
      </w:r>
      <w:proofErr w:type="gramStart"/>
      <w:r>
        <w:t>change</w:t>
      </w:r>
      <w:proofErr w:type="gramEnd"/>
      <w:r>
        <w:t xml:space="preserve"> to the intake system require explicit governance. First, any change to a consent text version requires counsel review and is captured as a new versioned record — old versions are retained, never edited. Second, any change to the data model (new field, modified field, deletion) requires a migration, a migration test, and a privacy-impact note in the change log. Third, any change to the screening provider integration or the integration with downstream engines requires re-execution of the relevant integration tests and, for provider changes, a documented re-procurement record. Smaller changes — copy edits, layout tweaks, non-required UX improvements — flow through the regular CI/CD pipeline.</w:t>
      </w:r>
    </w:p>
    <w:p w14:paraId="6E12C4DB" w14:textId="77777777" w:rsidR="00194C8C" w:rsidRDefault="00000000">
      <w:pPr>
        <w:pStyle w:val="Heading2"/>
      </w:pPr>
      <w:proofErr w:type="gramStart"/>
      <w:r>
        <w:t>9.4  Ongoing</w:t>
      </w:r>
      <w:proofErr w:type="gramEnd"/>
      <w:r>
        <w:t xml:space="preserve"> Compliance Review</w:t>
      </w:r>
    </w:p>
    <w:p w14:paraId="6116E970" w14:textId="77777777" w:rsidR="00194C8C" w:rsidRDefault="00000000">
      <w:pPr>
        <w:spacing w:after="120" w:line="300" w:lineRule="auto"/>
      </w:pPr>
      <w:r>
        <w:t xml:space="preserve">On a quarterly cadence, the Compliance reviewer (acting under the eventual Chief Compliance Officer's supervision) samples a small set of completed applications and verifies, against the application as submitted: the consent record is complete, the screening was performed and results were attached, the </w:t>
      </w:r>
      <w:r>
        <w:lastRenderedPageBreak/>
        <w:t xml:space="preserve">review decision is documented with rationale, the document set is intact in R2, and the audit log shows the expected sequence of events. The output of this review is a single-page memorandum filed against the books-and-records system. This procedure is the difference between an examination finding of "controls are designed" and "controls are designed and operating </w:t>
      </w:r>
      <w:proofErr w:type="gramStart"/>
      <w:r>
        <w:t>effectively" —</w:t>
      </w:r>
      <w:proofErr w:type="gramEnd"/>
      <w:r>
        <w:t xml:space="preserve"> and the latter is the standard that matters.</w:t>
      </w:r>
    </w:p>
    <w:p w14:paraId="47064C79" w14:textId="77777777" w:rsidR="00194C8C" w:rsidRDefault="00000000">
      <w:pPr>
        <w:pStyle w:val="Heading1"/>
      </w:pPr>
      <w:r>
        <w:t>10</w:t>
      </w:r>
      <w:proofErr w:type="gramStart"/>
      <w:r>
        <w:t>.  Risks</w:t>
      </w:r>
      <w:proofErr w:type="gramEnd"/>
      <w:r>
        <w:t>, Trade-offs, and Open Questions</w:t>
      </w:r>
    </w:p>
    <w:p w14:paraId="57B08F2E" w14:textId="77777777" w:rsidR="00194C8C" w:rsidRDefault="00000000">
      <w:pPr>
        <w:spacing w:after="120" w:line="300" w:lineRule="auto"/>
      </w:pPr>
      <w:r>
        <w:t xml:space="preserve">The build as described is achievable within roughly </w:t>
      </w:r>
      <w:r w:rsidRPr="00DC0982">
        <w:rPr>
          <w:highlight w:val="yellow"/>
        </w:rPr>
        <w:t>16–18 weeks</w:t>
      </w:r>
      <w:r>
        <w:t xml:space="preserve"> with the resources contemplated, but it carries trade-offs the </w:t>
      </w:r>
      <w:proofErr w:type="gramStart"/>
      <w:r>
        <w:t>Principal</w:t>
      </w:r>
      <w:proofErr w:type="gramEnd"/>
      <w:r>
        <w:t xml:space="preserve"> should be aware of and a small number of open questions that need to be resolved before Phase 1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94C8C" w14:paraId="35138B4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B71ADA8" w14:textId="77777777" w:rsidR="00194C8C" w:rsidRDefault="00000000">
            <w:r>
              <w:rPr>
                <w:b/>
                <w:bCs/>
              </w:rPr>
              <w:t>Risk / Open Question</w:t>
            </w:r>
          </w:p>
        </w:tc>
        <w:tc>
          <w:tcPr>
            <w:tcW w:w="63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31FC69F" w14:textId="77777777" w:rsidR="00194C8C" w:rsidRDefault="00000000">
            <w:r>
              <w:rPr>
                <w:b/>
                <w:bCs/>
              </w:rPr>
              <w:t>Discussion</w:t>
            </w:r>
          </w:p>
        </w:tc>
      </w:tr>
      <w:tr w:rsidR="00194C8C" w14:paraId="5A1149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D290CF" w14:textId="77777777" w:rsidR="00194C8C" w:rsidRDefault="00000000">
            <w:r>
              <w:t>Screening provider selection and cost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A3EA0" w14:textId="77777777" w:rsidR="00194C8C" w:rsidRDefault="00000000">
            <w:r>
              <w:t>KYC/AML provider pricing ranges widely (from per-check pay-as-you-go at ~$1–$5 to enterprise contracts at $30K+ annually). The right choice depends on expected application volume and on whether TCA wants liveness/document verification in addition to sanctions screening. A formal evaluation against three providers is recommended in Phase 0.</w:t>
            </w:r>
          </w:p>
        </w:tc>
      </w:tr>
      <w:tr w:rsidR="00194C8C" w14:paraId="0880B89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39E6FB" w14:textId="77777777" w:rsidR="00194C8C" w:rsidRDefault="00000000">
            <w:r>
              <w:t>Counsel involvement timing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5F20F9" w14:textId="77777777" w:rsidR="00194C8C" w:rsidRDefault="00000000">
            <w:r>
              <w:t xml:space="preserve">The consent text, engagement letter, and Privacy Notice should not be drafted by Claude or by the </w:t>
            </w:r>
            <w:proofErr w:type="gramStart"/>
            <w:r>
              <w:t>Principal</w:t>
            </w:r>
            <w:proofErr w:type="gramEnd"/>
            <w:r>
              <w:t xml:space="preserve"> alone. Outside counsel review is required, and counsel time should be scheduled into Phase </w:t>
            </w:r>
            <w:proofErr w:type="gramStart"/>
            <w:r>
              <w:t>0</w:t>
            </w:r>
            <w:proofErr w:type="gramEnd"/>
            <w:r>
              <w:t xml:space="preserve"> so it does not become the critical path in Phase 4.</w:t>
            </w:r>
          </w:p>
        </w:tc>
      </w:tr>
      <w:tr w:rsidR="00194C8C" w14:paraId="61069F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3735CD" w14:textId="77777777" w:rsidR="00194C8C" w:rsidRDefault="00000000">
            <w:r>
              <w:t>Accounting system selection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17E059" w14:textId="77777777" w:rsidR="00194C8C" w:rsidRDefault="00000000">
            <w:r>
              <w:t>This memorandum proposes QuickBooks Online as the near-term back-office. If the Principal contemplates a different stack (e.g., Xero, NetSuite, or a purpose-built finance application), the integration contract changes. This decision should be made before Phase 3.</w:t>
            </w:r>
          </w:p>
        </w:tc>
      </w:tr>
      <w:tr w:rsidR="00194C8C" w14:paraId="571F653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177FA9" w14:textId="77777777" w:rsidR="00194C8C" w:rsidRDefault="00000000">
            <w:r>
              <w:t>Infrastructure separation timing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895F71" w14:textId="77777777" w:rsidR="00194C8C" w:rsidRDefault="00000000">
            <w:r>
              <w:t>The Technology Strategy memo identifies a path to physically separate infrastructure within 12 months. The intake system can launch on the existing VPS, but if the migration to a dedicated host is imminent, the intake should be built with that move in mind from the outset.</w:t>
            </w:r>
          </w:p>
        </w:tc>
      </w:tr>
      <w:tr w:rsidR="00194C8C" w14:paraId="14C1BB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ACFC9" w14:textId="77777777" w:rsidR="00194C8C" w:rsidRDefault="00000000">
            <w:r>
              <w:t>Compliance staffing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245F0" w14:textId="77777777" w:rsidR="00194C8C" w:rsidRDefault="00000000">
            <w:r>
              <w:t xml:space="preserve">The intake system produces a review queue. The </w:t>
            </w:r>
            <w:proofErr w:type="gramStart"/>
            <w:r>
              <w:t>Principal</w:t>
            </w:r>
            <w:proofErr w:type="gramEnd"/>
            <w:r>
              <w:t xml:space="preserve"> currently fills the Compliance role in the interim period before a CCO is appointed. The queue should not become a bottleneck; service-level expectations for time-to-decision should be set explicitly, and the review interface should be designed to keep per-application review time low.</w:t>
            </w:r>
          </w:p>
        </w:tc>
      </w:tr>
      <w:tr w:rsidR="00194C8C" w14:paraId="3A6465B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465A8F" w14:textId="77777777" w:rsidR="00194C8C" w:rsidRDefault="00000000">
            <w:r>
              <w:t>State-level adviser requirements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CFD77" w14:textId="77777777" w:rsidR="00194C8C" w:rsidRDefault="00000000">
            <w:r>
              <w:t>Some U.S. states impose adviser-specific onboarding requirements (separate disclosures, state-specific privacy notices). The Phase 0 specification should identify TCA's anticipated state footprint and capture the relevant variants.</w:t>
            </w:r>
          </w:p>
        </w:tc>
      </w:tr>
      <w:tr w:rsidR="00194C8C" w14:paraId="1775BBB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F131E" w14:textId="77777777" w:rsidR="00194C8C" w:rsidRDefault="00000000">
            <w:r>
              <w:lastRenderedPageBreak/>
              <w:t>Cross-border applicants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AD467B" w14:textId="77777777" w:rsidR="00194C8C" w:rsidRDefault="00000000">
            <w:r>
              <w:t>Non-U.S. applicants raise distinct AML, tax (FATCA/CRS), and data-protection (GDPR, UK GDPR, PIPL) considerations. The Phase 0 specification should decide whether non-U.S. applicants are in scope at launch or are deferred to a later release.</w:t>
            </w:r>
          </w:p>
        </w:tc>
      </w:tr>
      <w:tr w:rsidR="00194C8C" w14:paraId="5E161A3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AE5B6E" w14:textId="77777777" w:rsidR="00194C8C" w:rsidRDefault="00000000">
            <w:r>
              <w:t>Forms as evidentiary record vs. as marketing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F6548B" w14:textId="77777777" w:rsidR="00194C8C" w:rsidRDefault="00000000">
            <w:r>
              <w:t>There will be pressure to make the form lighter, faster, and less intimidating for marketing reasons. This pressure should be resisted at consent and beneficial-ownership surfaces; it can be accommodated at the marketing landing and Get Started step. The Honest Friction Principle (Section 4.5) is the operating discipline.</w:t>
            </w:r>
          </w:p>
        </w:tc>
      </w:tr>
    </w:tbl>
    <w:p w14:paraId="10F8488F" w14:textId="77777777" w:rsidR="00194C8C" w:rsidRDefault="00000000">
      <w:pPr>
        <w:pStyle w:val="Heading1"/>
      </w:pPr>
      <w:r>
        <w:t>11</w:t>
      </w:r>
      <w:proofErr w:type="gramStart"/>
      <w:r>
        <w:t>.  Immediate</w:t>
      </w:r>
      <w:proofErr w:type="gramEnd"/>
      <w:r>
        <w:t xml:space="preserve"> Next Steps — The First 30 Days</w:t>
      </w:r>
    </w:p>
    <w:p w14:paraId="20045F9B" w14:textId="77777777" w:rsidR="00194C8C" w:rsidRDefault="00000000">
      <w:pPr>
        <w:spacing w:after="120" w:line="300" w:lineRule="auto"/>
      </w:pPr>
      <w:r>
        <w:t>To move from this memorandum into a buildable plan, the following sequence is recommended for the next 30 days:</w:t>
      </w:r>
    </w:p>
    <w:p w14:paraId="62D485FD" w14:textId="77777777" w:rsidR="00194C8C" w:rsidRDefault="00000000">
      <w:pPr>
        <w:pStyle w:val="ListParagraph"/>
        <w:numPr>
          <w:ilvl w:val="0"/>
          <w:numId w:val="3"/>
        </w:numPr>
        <w:spacing w:after="80" w:line="280" w:lineRule="auto"/>
      </w:pPr>
      <w:r>
        <w:t>Principal approval of this memorandum, with any redirections captured as comments and incorporated into the Technical Requirements Document.</w:t>
      </w:r>
    </w:p>
    <w:p w14:paraId="0E251C18" w14:textId="77777777" w:rsidR="00194C8C" w:rsidRDefault="00000000">
      <w:pPr>
        <w:pStyle w:val="ListParagraph"/>
        <w:numPr>
          <w:ilvl w:val="0"/>
          <w:numId w:val="3"/>
        </w:numPr>
        <w:spacing w:after="80" w:line="280" w:lineRule="auto"/>
      </w:pPr>
      <w:r>
        <w:t>Outside counsel engagement scoped for consent text, engagement letter, and Privacy Notice drafting — calendared into Phase 0.</w:t>
      </w:r>
    </w:p>
    <w:p w14:paraId="40B38EC0" w14:textId="77777777" w:rsidR="00194C8C" w:rsidRDefault="00000000">
      <w:pPr>
        <w:pStyle w:val="ListParagraph"/>
        <w:numPr>
          <w:ilvl w:val="0"/>
          <w:numId w:val="3"/>
        </w:numPr>
        <w:spacing w:after="80" w:line="280" w:lineRule="auto"/>
      </w:pPr>
      <w:r>
        <w:t>KYC/AML screening provider evaluation: three vendors shortlisted, demo, pricing, integration documentation review, and recommendation memorandum.</w:t>
      </w:r>
    </w:p>
    <w:p w14:paraId="437820E9" w14:textId="77777777" w:rsidR="00194C8C" w:rsidRDefault="00000000">
      <w:pPr>
        <w:pStyle w:val="ListParagraph"/>
        <w:numPr>
          <w:ilvl w:val="0"/>
          <w:numId w:val="3"/>
        </w:numPr>
        <w:spacing w:after="80" w:line="280" w:lineRule="auto"/>
      </w:pPr>
      <w:r>
        <w:t>Accounting system decision confirmed (QuickBooks Online recommended, alternatives reviewed).</w:t>
      </w:r>
    </w:p>
    <w:p w14:paraId="72935738" w14:textId="77777777" w:rsidR="00194C8C" w:rsidRDefault="00000000">
      <w:pPr>
        <w:pStyle w:val="ListParagraph"/>
        <w:numPr>
          <w:ilvl w:val="0"/>
          <w:numId w:val="3"/>
        </w:numPr>
        <w:spacing w:after="80" w:line="280" w:lineRule="auto"/>
      </w:pPr>
      <w:r>
        <w:t xml:space="preserve">Senior Systems Engineer engagement extended or re-engaged for the intake </w:t>
      </w:r>
      <w:proofErr w:type="gramStart"/>
      <w:r>
        <w:t>build</w:t>
      </w:r>
      <w:proofErr w:type="gramEnd"/>
      <w:r>
        <w:t xml:space="preserve"> under the same model used for the Risk Engine and the Reference Engine.</w:t>
      </w:r>
    </w:p>
    <w:p w14:paraId="1985F19D" w14:textId="77777777" w:rsidR="00194C8C" w:rsidRDefault="00000000">
      <w:pPr>
        <w:pStyle w:val="ListParagraph"/>
        <w:numPr>
          <w:ilvl w:val="0"/>
          <w:numId w:val="3"/>
        </w:numPr>
        <w:spacing w:after="80" w:line="280" w:lineRule="auto"/>
      </w:pPr>
      <w:r>
        <w:t>Technical Requirements Document drafted (TCA-TRD-2026-INTAKE-</w:t>
      </w:r>
      <w:proofErr w:type="gramStart"/>
      <w:r>
        <w:t>001) —</w:t>
      </w:r>
      <w:proofErr w:type="gramEnd"/>
      <w:r>
        <w:t xml:space="preserve"> extending this memorandum into the buildable specification Claude will execute against in Phase 1.</w:t>
      </w:r>
    </w:p>
    <w:p w14:paraId="4292C7A9" w14:textId="77777777" w:rsidR="00194C8C" w:rsidRDefault="00000000">
      <w:pPr>
        <w:pStyle w:val="ListParagraph"/>
        <w:numPr>
          <w:ilvl w:val="0"/>
          <w:numId w:val="3"/>
        </w:numPr>
        <w:spacing w:after="80" w:line="280" w:lineRule="auto"/>
      </w:pPr>
      <w:r>
        <w:t>Subdomain and DNS provisioning prepared in advance (</w:t>
      </w:r>
      <w:proofErr w:type="spellStart"/>
      <w:proofErr w:type="gramStart"/>
      <w:r>
        <w:t>apply.tokencap</w:t>
      </w:r>
      <w:proofErr w:type="gramEnd"/>
      <w:r>
        <w:t>.advisors</w:t>
      </w:r>
      <w:proofErr w:type="spellEnd"/>
      <w:r>
        <w:t xml:space="preserve"> or equivalent), with TLS configuration scoped.</w:t>
      </w:r>
    </w:p>
    <w:p w14:paraId="14027E02" w14:textId="77777777" w:rsidR="00194C8C" w:rsidRDefault="00000000">
      <w:pPr>
        <w:pStyle w:val="ListParagraph"/>
        <w:numPr>
          <w:ilvl w:val="0"/>
          <w:numId w:val="3"/>
        </w:numPr>
        <w:spacing w:after="80" w:line="280" w:lineRule="auto"/>
      </w:pPr>
      <w:r>
        <w:t xml:space="preserve">Standing weekly build cadence established, mirroring the Risk Engine and Reference Engine cadences, with the </w:t>
      </w:r>
      <w:proofErr w:type="gramStart"/>
      <w:r>
        <w:t>Principal</w:t>
      </w:r>
      <w:proofErr w:type="gramEnd"/>
      <w:r>
        <w:t xml:space="preserve"> as product owner.</w:t>
      </w:r>
    </w:p>
    <w:p w14:paraId="3EA8BD83" w14:textId="77777777" w:rsidR="00194C8C" w:rsidRDefault="00000000">
      <w:pPr>
        <w:pStyle w:val="Heading1"/>
      </w:pPr>
      <w:r>
        <w:t>12</w:t>
      </w:r>
      <w:proofErr w:type="gramStart"/>
      <w:r>
        <w:t>.  Conclusion</w:t>
      </w:r>
      <w:proofErr w:type="gramEnd"/>
    </w:p>
    <w:p w14:paraId="6A7B1990" w14:textId="77777777" w:rsidR="00194C8C" w:rsidRDefault="00000000">
      <w:pPr>
        <w:spacing w:after="120" w:line="300" w:lineRule="auto"/>
      </w:pPr>
      <w:r>
        <w:t xml:space="preserve">The Client Intake &amp; Onboarding system is the first regulatory-grade artifact a prospective TCA Client will see, and it is the first piece of evidence a regulator will examine when assessing how seriously TCA has implemented its compliance posture. It is also the entry point through which every paying Client will flow into the operational engines TCA has already invested in building — the Risk Engine, the R&amp;I Reference Engine, and in time the Client Portal and the cross-entity API surface. The intake system, in </w:t>
      </w:r>
      <w:r>
        <w:lastRenderedPageBreak/>
        <w:t>other words, sits at the intersection of TCA's regulatory defensibility and its operational scalability. It cannot be a marketing afterthought.</w:t>
      </w:r>
    </w:p>
    <w:p w14:paraId="0F909463" w14:textId="77777777" w:rsidR="00194C8C" w:rsidRDefault="00000000">
      <w:pPr>
        <w:spacing w:after="120" w:line="300" w:lineRule="auto"/>
      </w:pPr>
      <w:r>
        <w:t xml:space="preserve">The build is well within the 2678 Holdings delivery model that has been demonstrated by the Risk Engine and the R&amp;I Reference Engine — Claude as primary builder, Senior Systems Engineer for infrastructure and security, Principal as product owner, counsel and compliance specialist for the surfaces that require their expertise. The cost envelope is modest by industry standard; the time-to-launch is reasonable; the architectural posture is consistent with the rest of the TCA stack and reuses the same patterns, data stores, and audit-log discipline. None of the components proposed here </w:t>
      </w:r>
      <w:proofErr w:type="gramStart"/>
      <w:r>
        <w:t>is</w:t>
      </w:r>
      <w:proofErr w:type="gramEnd"/>
      <w:r>
        <w:t xml:space="preserve"> novel; the discipline lies in sequencing them correctly and building each one to the standard that a regulated investment adviser is held to.</w:t>
      </w:r>
    </w:p>
    <w:p w14:paraId="38996318" w14:textId="77777777" w:rsidR="00194C8C" w:rsidRDefault="00000000">
      <w:pPr>
        <w:spacing w:after="120" w:line="300" w:lineRule="auto"/>
      </w:pPr>
      <w:r>
        <w:t xml:space="preserve">The single most important principle governing this build is the principle that governs the rest of TCA's technology </w:t>
      </w:r>
      <w:proofErr w:type="spellStart"/>
      <w:r>
        <w:t>programme</w:t>
      </w:r>
      <w:proofErr w:type="spellEnd"/>
      <w:r>
        <w:t>: the system being built is not merely an operational tool — it is the evidentiary infrastructure of a regulated investment advisory firm. Every component must be designed to that standard, because retrofitting a compliance posture onto an intake form that was not built for it is significantly more costly than building it right the first time, and the records produced by an intake form built without that discipline will be the records a regulator examines first.</w:t>
      </w:r>
    </w:p>
    <w:p w14:paraId="6F7B7458" w14:textId="77777777" w:rsidR="00194C8C" w:rsidRDefault="00000000">
      <w:pPr>
        <w:spacing w:after="120" w:line="300" w:lineRule="auto"/>
      </w:pPr>
      <w:r>
        <w:t xml:space="preserve">This memorandum should be treated as the strategic predicate for the Technical Requirements Document, which is the next deliverable. With Principal approval, the TRD draft can be produced within two </w:t>
      </w:r>
      <w:proofErr w:type="gramStart"/>
      <w:r>
        <w:t>weeks</w:t>
      </w:r>
      <w:proofErr w:type="gramEnd"/>
      <w:r>
        <w:t xml:space="preserve"> and Phase 1 can begin shortly thereafter.</w:t>
      </w:r>
    </w:p>
    <w:p w14:paraId="6E2B51FF" w14:textId="77777777" w:rsidR="00194C8C" w:rsidRDefault="00194C8C">
      <w:pPr>
        <w:spacing w:after="80"/>
      </w:pPr>
    </w:p>
    <w:p w14:paraId="0EF5918F" w14:textId="77777777" w:rsidR="00194C8C" w:rsidRDefault="00000000">
      <w:pPr>
        <w:spacing w:after="120" w:line="300" w:lineRule="auto"/>
        <w:jc w:val="center"/>
      </w:pPr>
      <w:r>
        <w:rPr>
          <w:i/>
          <w:iCs/>
          <w:sz w:val="18"/>
          <w:szCs w:val="18"/>
        </w:rPr>
        <w:t xml:space="preserve">TOKENCAP ADVISORS </w:t>
      </w:r>
      <w:proofErr w:type="gramStart"/>
      <w:r>
        <w:rPr>
          <w:i/>
          <w:iCs/>
          <w:sz w:val="18"/>
          <w:szCs w:val="18"/>
        </w:rPr>
        <w:t>LLC  ·</w:t>
      </w:r>
      <w:proofErr w:type="gramEnd"/>
      <w:r>
        <w:rPr>
          <w:i/>
          <w:iCs/>
          <w:sz w:val="18"/>
          <w:szCs w:val="18"/>
        </w:rPr>
        <w:t xml:space="preserve">  PRIVILEGED &amp; </w:t>
      </w:r>
      <w:proofErr w:type="gramStart"/>
      <w:r>
        <w:rPr>
          <w:i/>
          <w:iCs/>
          <w:sz w:val="18"/>
          <w:szCs w:val="18"/>
        </w:rPr>
        <w:t>CONFIDENTIAL  ·</w:t>
      </w:r>
      <w:proofErr w:type="gramEnd"/>
      <w:r>
        <w:rPr>
          <w:i/>
          <w:iCs/>
          <w:sz w:val="18"/>
          <w:szCs w:val="18"/>
        </w:rPr>
        <w:t xml:space="preserve">  FOR INTERNAL USE ONLY</w:t>
      </w:r>
    </w:p>
    <w:p w14:paraId="7DDDE068" w14:textId="77777777" w:rsidR="00194C8C" w:rsidRDefault="00000000">
      <w:pPr>
        <w:spacing w:after="120" w:line="300" w:lineRule="auto"/>
        <w:jc w:val="center"/>
      </w:pPr>
      <w:r>
        <w:rPr>
          <w:i/>
          <w:iCs/>
          <w:sz w:val="18"/>
          <w:szCs w:val="18"/>
        </w:rPr>
        <w:t>This memorandum contains proprietary strategic and legal information. It is not for distribution outside TCA or the 2678 Holdings governance structure.</w:t>
      </w:r>
    </w:p>
    <w:sectPr w:rsidR="00194C8C">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4694" w14:textId="77777777" w:rsidR="00852975" w:rsidRDefault="00852975">
      <w:r>
        <w:separator/>
      </w:r>
    </w:p>
  </w:endnote>
  <w:endnote w:type="continuationSeparator" w:id="0">
    <w:p w14:paraId="7C54CA30" w14:textId="77777777" w:rsidR="00852975" w:rsidRDefault="00852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4DE2" w14:textId="77777777" w:rsidR="00194C8C" w:rsidRDefault="00000000">
    <w:pPr>
      <w:jc w:val="center"/>
    </w:pPr>
    <w:r>
      <w:rPr>
        <w:i/>
        <w:iCs/>
        <w:color w:val="808080"/>
        <w:sz w:val="18"/>
        <w:szCs w:val="18"/>
      </w:rPr>
      <w:t xml:space="preserve">TokenCap Advisors </w:t>
    </w:r>
    <w:proofErr w:type="gramStart"/>
    <w:r>
      <w:rPr>
        <w:i/>
        <w:iCs/>
        <w:color w:val="808080"/>
        <w:sz w:val="18"/>
        <w:szCs w:val="18"/>
      </w:rPr>
      <w:t>LLC  |</w:t>
    </w:r>
    <w:proofErr w:type="gramEnd"/>
    <w:r>
      <w:rPr>
        <w:i/>
        <w:iCs/>
        <w:color w:val="808080"/>
        <w:sz w:val="18"/>
        <w:szCs w:val="18"/>
      </w:rPr>
      <w:t xml:space="preserve">  A 2678 Holdings LLC </w:t>
    </w:r>
    <w:proofErr w:type="gramStart"/>
    <w:r>
      <w:rPr>
        <w:i/>
        <w:iCs/>
        <w:color w:val="808080"/>
        <w:sz w:val="18"/>
        <w:szCs w:val="18"/>
      </w:rPr>
      <w:t>Company  |</w:t>
    </w:r>
    <w:proofErr w:type="gramEnd"/>
    <w:r>
      <w:rPr>
        <w:i/>
        <w:iCs/>
        <w:color w:val="808080"/>
        <w:sz w:val="18"/>
        <w:szCs w:val="18"/>
      </w:rPr>
      <w:t xml:space="preserve">  Page </w:t>
    </w:r>
    <w:r>
      <w:rPr>
        <w:i/>
        <w:iCs/>
        <w:color w:val="808080"/>
        <w:sz w:val="18"/>
        <w:szCs w:val="18"/>
      </w:rPr>
      <w:fldChar w:fldCharType="begin"/>
    </w:r>
    <w:r>
      <w:rPr>
        <w:i/>
        <w:iCs/>
        <w:color w:val="808080"/>
        <w:sz w:val="18"/>
        <w:szCs w:val="18"/>
      </w:rPr>
      <w:instrText>PAGE</w:instrText>
    </w:r>
    <w:r>
      <w:rPr>
        <w:i/>
        <w:iCs/>
        <w:color w:val="808080"/>
        <w:sz w:val="18"/>
        <w:szCs w:val="18"/>
      </w:rPr>
      <w:fldChar w:fldCharType="separate"/>
    </w:r>
    <w:r w:rsidR="005669A2">
      <w:rPr>
        <w:i/>
        <w:iCs/>
        <w:noProof/>
        <w:color w:val="808080"/>
        <w:sz w:val="18"/>
        <w:szCs w:val="18"/>
      </w:rPr>
      <w:t>1</w:t>
    </w:r>
    <w:r>
      <w:rPr>
        <w:i/>
        <w:iCs/>
        <w:color w:val="808080"/>
        <w:sz w:val="18"/>
        <w:szCs w:val="18"/>
      </w:rPr>
      <w:fldChar w:fldCharType="end"/>
    </w:r>
    <w:r>
      <w:rPr>
        <w:i/>
        <w:iCs/>
        <w:color w:val="808080"/>
        <w:sz w:val="18"/>
        <w:szCs w:val="18"/>
      </w:rPr>
      <w:t xml:space="preserve"> of </w:t>
    </w:r>
    <w:r>
      <w:rPr>
        <w:i/>
        <w:iCs/>
        <w:color w:val="808080"/>
        <w:sz w:val="18"/>
        <w:szCs w:val="18"/>
      </w:rPr>
      <w:fldChar w:fldCharType="begin"/>
    </w:r>
    <w:r>
      <w:rPr>
        <w:i/>
        <w:iCs/>
        <w:color w:val="808080"/>
        <w:sz w:val="18"/>
        <w:szCs w:val="18"/>
      </w:rPr>
      <w:instrText>NUMPAGES</w:instrText>
    </w:r>
    <w:r>
      <w:rPr>
        <w:i/>
        <w:iCs/>
        <w:color w:val="808080"/>
        <w:sz w:val="18"/>
        <w:szCs w:val="18"/>
      </w:rPr>
      <w:fldChar w:fldCharType="separate"/>
    </w:r>
    <w:r w:rsidR="005669A2">
      <w:rPr>
        <w:i/>
        <w:iCs/>
        <w:noProof/>
        <w:color w:val="808080"/>
        <w:sz w:val="18"/>
        <w:szCs w:val="18"/>
      </w:rPr>
      <w:t>2</w:t>
    </w:r>
    <w:r>
      <w:rPr>
        <w:i/>
        <w:iCs/>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9410" w14:textId="77777777" w:rsidR="00852975" w:rsidRDefault="00852975">
      <w:r>
        <w:separator/>
      </w:r>
    </w:p>
  </w:footnote>
  <w:footnote w:type="continuationSeparator" w:id="0">
    <w:p w14:paraId="081A01E9" w14:textId="77777777" w:rsidR="00852975" w:rsidRDefault="00852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4433" w14:textId="77777777" w:rsidR="00194C8C" w:rsidRDefault="00000000">
    <w:pPr>
      <w:jc w:val="right"/>
    </w:pPr>
    <w:r>
      <w:rPr>
        <w:i/>
        <w:iCs/>
        <w:color w:val="808080"/>
        <w:sz w:val="18"/>
        <w:szCs w:val="18"/>
      </w:rPr>
      <w:t>TCA-MEMO-2026-INTAKE-001 (Rev. 0</w:t>
    </w:r>
    <w:proofErr w:type="gramStart"/>
    <w:r>
      <w:rPr>
        <w:i/>
        <w:iCs/>
        <w:color w:val="808080"/>
        <w:sz w:val="18"/>
        <w:szCs w:val="18"/>
      </w:rPr>
      <w:t>)  |</w:t>
    </w:r>
    <w:proofErr w:type="gramEnd"/>
    <w:r>
      <w:rPr>
        <w:i/>
        <w:iCs/>
        <w:color w:val="8080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43480"/>
    <w:multiLevelType w:val="hybridMultilevel"/>
    <w:tmpl w:val="8D440CD4"/>
    <w:lvl w:ilvl="0" w:tplc="641CFA18">
      <w:start w:val="1"/>
      <w:numFmt w:val="bullet"/>
      <w:lvlText w:val="•"/>
      <w:lvlJc w:val="left"/>
      <w:pPr>
        <w:ind w:left="720" w:hanging="360"/>
      </w:pPr>
    </w:lvl>
    <w:lvl w:ilvl="1" w:tplc="0204932C">
      <w:start w:val="1"/>
      <w:numFmt w:val="bullet"/>
      <w:lvlText w:val="◦"/>
      <w:lvlJc w:val="left"/>
      <w:pPr>
        <w:ind w:left="1440" w:hanging="360"/>
      </w:pPr>
    </w:lvl>
    <w:lvl w:ilvl="2" w:tplc="A19451CA">
      <w:numFmt w:val="decimal"/>
      <w:lvlText w:val=""/>
      <w:lvlJc w:val="left"/>
    </w:lvl>
    <w:lvl w:ilvl="3" w:tplc="29585DAC">
      <w:numFmt w:val="decimal"/>
      <w:lvlText w:val=""/>
      <w:lvlJc w:val="left"/>
    </w:lvl>
    <w:lvl w:ilvl="4" w:tplc="FDAE8914">
      <w:numFmt w:val="decimal"/>
      <w:lvlText w:val=""/>
      <w:lvlJc w:val="left"/>
    </w:lvl>
    <w:lvl w:ilvl="5" w:tplc="6E8ED154">
      <w:numFmt w:val="decimal"/>
      <w:lvlText w:val=""/>
      <w:lvlJc w:val="left"/>
    </w:lvl>
    <w:lvl w:ilvl="6" w:tplc="2CFE848A">
      <w:numFmt w:val="decimal"/>
      <w:lvlText w:val=""/>
      <w:lvlJc w:val="left"/>
    </w:lvl>
    <w:lvl w:ilvl="7" w:tplc="41C23E8A">
      <w:numFmt w:val="decimal"/>
      <w:lvlText w:val=""/>
      <w:lvlJc w:val="left"/>
    </w:lvl>
    <w:lvl w:ilvl="8" w:tplc="BE123700">
      <w:numFmt w:val="decimal"/>
      <w:lvlText w:val=""/>
      <w:lvlJc w:val="left"/>
    </w:lvl>
  </w:abstractNum>
  <w:abstractNum w:abstractNumId="1" w15:restartNumberingAfterBreak="0">
    <w:nsid w:val="554B5920"/>
    <w:multiLevelType w:val="hybridMultilevel"/>
    <w:tmpl w:val="D3CCD890"/>
    <w:lvl w:ilvl="0" w:tplc="AEFC85D8">
      <w:start w:val="1"/>
      <w:numFmt w:val="bullet"/>
      <w:lvlText w:val="●"/>
      <w:lvlJc w:val="left"/>
      <w:pPr>
        <w:ind w:left="720" w:hanging="360"/>
      </w:pPr>
    </w:lvl>
    <w:lvl w:ilvl="1" w:tplc="3D36D574">
      <w:start w:val="1"/>
      <w:numFmt w:val="bullet"/>
      <w:lvlText w:val="○"/>
      <w:lvlJc w:val="left"/>
      <w:pPr>
        <w:ind w:left="1440" w:hanging="360"/>
      </w:pPr>
    </w:lvl>
    <w:lvl w:ilvl="2" w:tplc="63F8A730">
      <w:start w:val="1"/>
      <w:numFmt w:val="bullet"/>
      <w:lvlText w:val="■"/>
      <w:lvlJc w:val="left"/>
      <w:pPr>
        <w:ind w:left="2160" w:hanging="360"/>
      </w:pPr>
    </w:lvl>
    <w:lvl w:ilvl="3" w:tplc="55004918">
      <w:start w:val="1"/>
      <w:numFmt w:val="bullet"/>
      <w:lvlText w:val="●"/>
      <w:lvlJc w:val="left"/>
      <w:pPr>
        <w:ind w:left="2880" w:hanging="360"/>
      </w:pPr>
    </w:lvl>
    <w:lvl w:ilvl="4" w:tplc="A5FC2D6E">
      <w:start w:val="1"/>
      <w:numFmt w:val="bullet"/>
      <w:lvlText w:val="○"/>
      <w:lvlJc w:val="left"/>
      <w:pPr>
        <w:ind w:left="3600" w:hanging="360"/>
      </w:pPr>
    </w:lvl>
    <w:lvl w:ilvl="5" w:tplc="19DA40E0">
      <w:start w:val="1"/>
      <w:numFmt w:val="bullet"/>
      <w:lvlText w:val="■"/>
      <w:lvlJc w:val="left"/>
      <w:pPr>
        <w:ind w:left="4320" w:hanging="360"/>
      </w:pPr>
    </w:lvl>
    <w:lvl w:ilvl="6" w:tplc="41167C58">
      <w:start w:val="1"/>
      <w:numFmt w:val="bullet"/>
      <w:lvlText w:val="●"/>
      <w:lvlJc w:val="left"/>
      <w:pPr>
        <w:ind w:left="5040" w:hanging="360"/>
      </w:pPr>
    </w:lvl>
    <w:lvl w:ilvl="7" w:tplc="B72828BC">
      <w:start w:val="1"/>
      <w:numFmt w:val="bullet"/>
      <w:lvlText w:val="●"/>
      <w:lvlJc w:val="left"/>
      <w:pPr>
        <w:ind w:left="5760" w:hanging="360"/>
      </w:pPr>
    </w:lvl>
    <w:lvl w:ilvl="8" w:tplc="1398205E">
      <w:start w:val="1"/>
      <w:numFmt w:val="bullet"/>
      <w:lvlText w:val="●"/>
      <w:lvlJc w:val="left"/>
      <w:pPr>
        <w:ind w:left="6480" w:hanging="360"/>
      </w:pPr>
    </w:lvl>
  </w:abstractNum>
  <w:abstractNum w:abstractNumId="2" w15:restartNumberingAfterBreak="0">
    <w:nsid w:val="59055685"/>
    <w:multiLevelType w:val="hybridMultilevel"/>
    <w:tmpl w:val="D7EADE3A"/>
    <w:lvl w:ilvl="0" w:tplc="D3F28194">
      <w:start w:val="1"/>
      <w:numFmt w:val="decimal"/>
      <w:lvlText w:val="%1."/>
      <w:lvlJc w:val="left"/>
      <w:pPr>
        <w:ind w:left="720" w:hanging="360"/>
      </w:pPr>
    </w:lvl>
    <w:lvl w:ilvl="1" w:tplc="72AEE840">
      <w:numFmt w:val="decimal"/>
      <w:lvlText w:val=""/>
      <w:lvlJc w:val="left"/>
    </w:lvl>
    <w:lvl w:ilvl="2" w:tplc="9028BEA0">
      <w:numFmt w:val="decimal"/>
      <w:lvlText w:val=""/>
      <w:lvlJc w:val="left"/>
    </w:lvl>
    <w:lvl w:ilvl="3" w:tplc="971A5FAC">
      <w:numFmt w:val="decimal"/>
      <w:lvlText w:val=""/>
      <w:lvlJc w:val="left"/>
    </w:lvl>
    <w:lvl w:ilvl="4" w:tplc="A852F764">
      <w:numFmt w:val="decimal"/>
      <w:lvlText w:val=""/>
      <w:lvlJc w:val="left"/>
    </w:lvl>
    <w:lvl w:ilvl="5" w:tplc="44E20100">
      <w:numFmt w:val="decimal"/>
      <w:lvlText w:val=""/>
      <w:lvlJc w:val="left"/>
    </w:lvl>
    <w:lvl w:ilvl="6" w:tplc="C66E1100">
      <w:numFmt w:val="decimal"/>
      <w:lvlText w:val=""/>
      <w:lvlJc w:val="left"/>
    </w:lvl>
    <w:lvl w:ilvl="7" w:tplc="A8C291F6">
      <w:numFmt w:val="decimal"/>
      <w:lvlText w:val=""/>
      <w:lvlJc w:val="left"/>
    </w:lvl>
    <w:lvl w:ilvl="8" w:tplc="2D3C9B30">
      <w:numFmt w:val="decimal"/>
      <w:lvlText w:val=""/>
      <w:lvlJc w:val="left"/>
    </w:lvl>
  </w:abstractNum>
  <w:num w:numId="1" w16cid:durableId="342324349">
    <w:abstractNumId w:val="1"/>
    <w:lvlOverride w:ilvl="0">
      <w:startOverride w:val="1"/>
    </w:lvlOverride>
  </w:num>
  <w:num w:numId="2" w16cid:durableId="1225531891">
    <w:abstractNumId w:val="0"/>
    <w:lvlOverride w:ilvl="0">
      <w:startOverride w:val="1"/>
    </w:lvlOverride>
  </w:num>
  <w:num w:numId="3" w16cid:durableId="4470884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8C"/>
    <w:rsid w:val="00194C8C"/>
    <w:rsid w:val="0024362F"/>
    <w:rsid w:val="005669A2"/>
    <w:rsid w:val="00852975"/>
    <w:rsid w:val="00B8007D"/>
    <w:rsid w:val="00C141E3"/>
    <w:rsid w:val="00DC0982"/>
    <w:rsid w:val="00F10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A16D"/>
  <w15:docId w15:val="{A0F87FEA-C901-45E3-B396-EF09486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28"/>
      <w:szCs w:val="28"/>
    </w:rPr>
  </w:style>
  <w:style w:type="paragraph" w:styleId="Heading2">
    <w:name w:val="heading 2"/>
    <w:uiPriority w:val="9"/>
    <w:unhideWhenUsed/>
    <w:qFormat/>
    <w:pPr>
      <w:spacing w:before="280" w:after="140"/>
      <w:outlineLvl w:val="1"/>
    </w:pPr>
    <w:rPr>
      <w:b/>
      <w:bCs/>
      <w:color w:val="1F3A5F"/>
      <w:sz w:val="24"/>
      <w:szCs w:val="24"/>
    </w:rPr>
  </w:style>
  <w:style w:type="paragraph" w:styleId="Heading3">
    <w:name w:val="heading 3"/>
    <w:uiPriority w:val="9"/>
    <w:semiHidden/>
    <w:unhideWhenUsed/>
    <w:qFormat/>
    <w:pPr>
      <w:spacing w:before="220" w:after="120"/>
      <w:outlineLvl w:val="2"/>
    </w:pPr>
    <w:rPr>
      <w:b/>
      <w:bCs/>
      <w:i/>
      <w:i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6167</Words>
  <Characters>37069</Characters>
  <Application>Microsoft Office Word</Application>
  <DocSecurity>0</DocSecurity>
  <Lines>805</Lines>
  <Paragraphs>428</Paragraphs>
  <ScaleCrop>false</ScaleCrop>
  <HeadingPairs>
    <vt:vector size="2" baseType="variant">
      <vt:variant>
        <vt:lpstr>Title</vt:lpstr>
      </vt:variant>
      <vt:variant>
        <vt:i4>1</vt:i4>
      </vt:variant>
    </vt:vector>
  </HeadingPairs>
  <TitlesOfParts>
    <vt:vector size="1" baseType="lpstr">
      <vt:lpstr>TCA Client Intake Forms — Design, Build, Test, Deployment Plan</vt:lpstr>
    </vt:vector>
  </TitlesOfParts>
  <Company/>
  <LinksUpToDate>false</LinksUpToDate>
  <CharactersWithSpaces>42808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 Client Intake Forms — Design, Build, Test, Deployment Plan</dc:title>
  <dc:creator>TokenCap Advisors LLC</dc:creator>
  <cp:lastModifiedBy>Michael Berry</cp:lastModifiedBy>
  <cp:revision>2</cp:revision>
  <dcterms:created xsi:type="dcterms:W3CDTF">2026-05-27T17:21:00Z</dcterms:created>
  <dcterms:modified xsi:type="dcterms:W3CDTF">2026-05-27T17:21:00Z</dcterms:modified>
</cp:coreProperties>
</file>