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1C0D" w14:textId="77777777" w:rsidR="00F44532" w:rsidRDefault="00000000">
      <w:pPr>
        <w:spacing w:after="80"/>
      </w:pPr>
      <w:r>
        <w:rPr>
          <w:b/>
          <w:bCs/>
          <w:sz w:val="26"/>
          <w:szCs w:val="26"/>
        </w:rPr>
        <w:t>TOKENCAP ADVISORS LLC</w:t>
      </w:r>
    </w:p>
    <w:p w14:paraId="256D018E" w14:textId="77777777" w:rsidR="00F44532" w:rsidRDefault="00000000">
      <w:pPr>
        <w:spacing w:after="240"/>
      </w:pPr>
      <w:r>
        <w:rPr>
          <w:i/>
          <w:iCs/>
          <w:color w:val="595959"/>
        </w:rPr>
        <w:t>Internal Technical Memorandum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44532" w14:paraId="5DF42EB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E16E77" w14:textId="77777777" w:rsidR="00F44532" w:rsidRDefault="00000000">
            <w:r>
              <w:rPr>
                <w:b/>
                <w:bCs/>
                <w:sz w:val="20"/>
                <w:szCs w:val="20"/>
              </w:rPr>
              <w:t>TO:</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7A8D1" w14:textId="77777777" w:rsidR="00F44532" w:rsidRDefault="00000000">
            <w:r>
              <w:rPr>
                <w:sz w:val="20"/>
                <w:szCs w:val="20"/>
              </w:rPr>
              <w:t xml:space="preserve">Stan Hua, Senior Technology Advisor; </w:t>
            </w:r>
            <w:proofErr w:type="spellStart"/>
            <w:r>
              <w:rPr>
                <w:sz w:val="20"/>
                <w:szCs w:val="20"/>
              </w:rPr>
              <w:t>Ganlin</w:t>
            </w:r>
            <w:proofErr w:type="spellEnd"/>
            <w:r>
              <w:rPr>
                <w:sz w:val="20"/>
                <w:szCs w:val="20"/>
              </w:rPr>
              <w:t>; Ella</w:t>
            </w:r>
          </w:p>
        </w:tc>
      </w:tr>
      <w:tr w:rsidR="00F44532" w14:paraId="71F660F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B22089" w14:textId="77777777" w:rsidR="00F44532" w:rsidRDefault="00000000">
            <w:r>
              <w:rPr>
                <w:b/>
                <w:bCs/>
                <w:sz w:val="20"/>
                <w:szCs w:val="20"/>
              </w:rPr>
              <w:t>FROM:</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72F16" w14:textId="77777777" w:rsidR="00F44532" w:rsidRDefault="00000000">
            <w:r>
              <w:rPr>
                <w:sz w:val="20"/>
                <w:szCs w:val="20"/>
              </w:rPr>
              <w:t>MRB</w:t>
            </w:r>
          </w:p>
        </w:tc>
      </w:tr>
      <w:tr w:rsidR="00F44532" w14:paraId="1602F63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F3CFCF" w14:textId="77777777" w:rsidR="00F44532" w:rsidRDefault="00000000">
            <w:r>
              <w:rPr>
                <w:b/>
                <w:bCs/>
                <w:sz w:val="20"/>
                <w:szCs w:val="20"/>
              </w:rPr>
              <w:t>DATE:</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80275" w14:textId="77777777" w:rsidR="00F44532" w:rsidRDefault="00000000">
            <w:r>
              <w:rPr>
                <w:sz w:val="20"/>
                <w:szCs w:val="20"/>
              </w:rPr>
              <w:t>May 2026</w:t>
            </w:r>
          </w:p>
        </w:tc>
      </w:tr>
      <w:tr w:rsidR="00F44532" w14:paraId="202E121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AC0F79" w14:textId="77777777" w:rsidR="00F44532" w:rsidRDefault="00000000">
            <w:r>
              <w:rPr>
                <w:b/>
                <w:bCs/>
                <w:sz w:val="20"/>
                <w:szCs w:val="20"/>
              </w:rPr>
              <w:t>RE:</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A3BA0" w14:textId="77777777" w:rsidR="00F44532" w:rsidRDefault="00000000">
            <w:r>
              <w:rPr>
                <w:b/>
                <w:bCs/>
                <w:sz w:val="20"/>
                <w:szCs w:val="20"/>
              </w:rPr>
              <w:t>TCA R&amp;I Reference Engine — System Overview, Construction, and Role in the TCA / 2678 Business Model</w:t>
            </w:r>
          </w:p>
        </w:tc>
      </w:tr>
      <w:tr w:rsidR="00F44532" w14:paraId="7A9E3E3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79A3BA" w14:textId="77777777" w:rsidR="00F44532" w:rsidRDefault="00000000">
            <w:r>
              <w:rPr>
                <w:b/>
                <w:bCs/>
                <w:sz w:val="20"/>
                <w:szCs w:val="20"/>
              </w:rPr>
              <w:t>DOC ID:</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ACB19" w14:textId="77777777" w:rsidR="00F44532" w:rsidRDefault="00000000">
            <w:r>
              <w:rPr>
                <w:sz w:val="20"/>
                <w:szCs w:val="20"/>
              </w:rPr>
              <w:t>TCA-MEMO-2026-RI-SUMMARY-</w:t>
            </w:r>
            <w:proofErr w:type="gramStart"/>
            <w:r>
              <w:rPr>
                <w:sz w:val="20"/>
                <w:szCs w:val="20"/>
              </w:rPr>
              <w:t>001  (</w:t>
            </w:r>
            <w:proofErr w:type="gramEnd"/>
            <w:r>
              <w:rPr>
                <w:sz w:val="20"/>
                <w:szCs w:val="20"/>
              </w:rPr>
              <w:t>Rev. 1 — Multi-Sector)</w:t>
            </w:r>
          </w:p>
        </w:tc>
      </w:tr>
      <w:tr w:rsidR="00F44532" w14:paraId="0C3CBD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C5D6C4" w14:textId="77777777" w:rsidR="00F44532" w:rsidRDefault="00000000">
            <w:r>
              <w:rPr>
                <w:b/>
                <w:bCs/>
                <w:sz w:val="20"/>
                <w:szCs w:val="20"/>
              </w:rPr>
              <w:t>REF:</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CCF0BF" w14:textId="77777777" w:rsidR="00F44532" w:rsidRDefault="00000000">
            <w:r>
              <w:rPr>
                <w:sz w:val="20"/>
                <w:szCs w:val="20"/>
              </w:rPr>
              <w:t>TCA-TRD-2026-RI-001; TCA-WORKPLAN-2026-RI-001; TCA-MEMO-2026-RI-IMPL-001; TCA-UNIV-001-v1.0 (Universal Risk Framework)</w:t>
            </w:r>
          </w:p>
        </w:tc>
      </w:tr>
    </w:tbl>
    <w:p w14:paraId="113FE4D9" w14:textId="77777777" w:rsidR="00F44532" w:rsidRDefault="00F44532">
      <w:pPr>
        <w:spacing w:after="200"/>
      </w:pPr>
    </w:p>
    <w:p w14:paraId="5B3B1586" w14:textId="77777777" w:rsidR="00F44532" w:rsidRDefault="00000000">
      <w:pPr>
        <w:pStyle w:val="Heading1"/>
      </w:pPr>
      <w:r>
        <w:t>1</w:t>
      </w:r>
      <w:proofErr w:type="gramStart"/>
      <w:r>
        <w:t>.  Purpose</w:t>
      </w:r>
      <w:proofErr w:type="gramEnd"/>
    </w:p>
    <w:p w14:paraId="04B59478" w14:textId="77777777" w:rsidR="00F44532" w:rsidRDefault="00000000">
      <w:pPr>
        <w:spacing w:after="120" w:line="300" w:lineRule="auto"/>
      </w:pPr>
      <w:r>
        <w:rPr>
          <w:color w:val="000000"/>
        </w:rPr>
        <w:t>This memorandum provides a consolidated, audience-neutral summary of the TCA R&amp;I Reference Engine: what it is, what it does, how it is constructed, and the role it plays in both TokenCap Advisors' operating workflow and the broader 2678 Holdings business model.</w:t>
      </w:r>
    </w:p>
    <w:p w14:paraId="450D6A74" w14:textId="77777777" w:rsidR="00F44532" w:rsidRDefault="00000000">
      <w:pPr>
        <w:spacing w:after="120" w:line="300" w:lineRule="auto"/>
      </w:pPr>
      <w:r>
        <w:rPr>
          <w:color w:val="000000"/>
        </w:rPr>
        <w:t>It is intended as an onboarding and orientation document for any team member, advisor, contractor, or counterparty who requires a single-document understanding of the system. It does not supersede the source documents (TCA-TRD-2026-RI-001, TCA-WORKPLAN-2026-RI-001, TCA-MEMO-2026-RI-IMPL-001, and the Universal Risk Framework TCA-UNIV-001-v1.0) and should not be relied upon for design or build decisions; for those, consult those documents directly.</w:t>
      </w:r>
    </w:p>
    <w:p w14:paraId="2EB9BA16" w14:textId="77777777" w:rsidR="00F44532" w:rsidRDefault="00000000">
      <w:pPr>
        <w:pStyle w:val="Heading1"/>
      </w:pPr>
      <w:r>
        <w:t>2</w:t>
      </w:r>
      <w:proofErr w:type="gramStart"/>
      <w:r>
        <w:t>.  What</w:t>
      </w:r>
      <w:proofErr w:type="gramEnd"/>
      <w:r>
        <w:t xml:space="preserve"> the R&amp;I Reference Engine Is</w:t>
      </w:r>
    </w:p>
    <w:p w14:paraId="26249E95" w14:textId="1FE849A5" w:rsidR="00F44532" w:rsidRDefault="00000000">
      <w:pPr>
        <w:spacing w:after="120" w:line="300" w:lineRule="auto"/>
      </w:pPr>
      <w:r>
        <w:rPr>
          <w:color w:val="000000"/>
        </w:rPr>
        <w:t xml:space="preserve">The R&amp;I Reference Engine is a Retrieval-Augmented Generation (RAG) knowledge system. It provides TokenCap Advisors' Research &amp; Intelligence function with authoritative, auditable reference material against which </w:t>
      </w:r>
      <w:r w:rsidR="008B7968">
        <w:rPr>
          <w:color w:val="000000"/>
        </w:rPr>
        <w:t>business or project</w:t>
      </w:r>
      <w:r>
        <w:rPr>
          <w:color w:val="000000"/>
        </w:rPr>
        <w:t xml:space="preserve"> opportunities can be benchmarked, organized around the five canonical risk domains defined in the TCA Universal Risk Framework: Foundational / Asset (FR), Technical &amp; Execution (TE), Regulatory &amp; External (RE), Commercial &amp; Financial (CF), and Infrastructure &amp; Market (IM).</w:t>
      </w:r>
    </w:p>
    <w:p w14:paraId="65E483A2" w14:textId="77777777" w:rsidR="00F44532" w:rsidRDefault="00000000">
      <w:pPr>
        <w:spacing w:after="120" w:line="300" w:lineRule="auto"/>
      </w:pPr>
      <w:r>
        <w:rPr>
          <w:color w:val="000000"/>
        </w:rPr>
        <w:t>Three characteristics define the system:</w:t>
      </w:r>
    </w:p>
    <w:p w14:paraId="0A9ABEF6" w14:textId="77777777" w:rsidR="00F44532" w:rsidRDefault="00000000">
      <w:pPr>
        <w:pStyle w:val="ListParagraph"/>
        <w:numPr>
          <w:ilvl w:val="0"/>
          <w:numId w:val="2"/>
        </w:numPr>
        <w:spacing w:after="80" w:line="290" w:lineRule="auto"/>
      </w:pPr>
      <w:r>
        <w:rPr>
          <w:b/>
          <w:bCs/>
        </w:rPr>
        <w:t xml:space="preserve">Sector-adaptive, not sector-specific. </w:t>
      </w:r>
      <w:r>
        <w:t>The Engine is built once and adapted by extension. Each sector 2678 covers — E&amp;P, Renewables, Real Estate, Technology, and subsequent verticals — has its own curated sub-corpus and conforming vertical framework (TCA-EP-001, TCA-REN-001, TCA-RE-001, TCA-TECH-001) registered against the Universal taxonomy. A single retrieval and synthesis engine serves all of them.</w:t>
      </w:r>
    </w:p>
    <w:p w14:paraId="6D9CA66D" w14:textId="77777777" w:rsidR="00F44532" w:rsidRDefault="00000000">
      <w:pPr>
        <w:pStyle w:val="ListParagraph"/>
        <w:numPr>
          <w:ilvl w:val="0"/>
          <w:numId w:val="2"/>
        </w:numPr>
        <w:spacing w:after="80" w:line="290" w:lineRule="auto"/>
      </w:pPr>
      <w:r>
        <w:rPr>
          <w:b/>
          <w:bCs/>
        </w:rPr>
        <w:lastRenderedPageBreak/>
        <w:t xml:space="preserve">Curated, not crawled. </w:t>
      </w:r>
      <w:r>
        <w:t>Each sub-corpus is a deliberately assembled body of Tier 1 and Tier 2 sources — federal data (USGS, EIA, NREL, SEC EDGAR, Census, FERC, FDA), peer-reviewed and industry-standard publications, recognized commercial data providers (</w:t>
      </w:r>
      <w:proofErr w:type="spellStart"/>
      <w:r>
        <w:t>Enverus</w:t>
      </w:r>
      <w:proofErr w:type="spellEnd"/>
      <w:r>
        <w:t xml:space="preserve">, CoStar, </w:t>
      </w:r>
      <w:proofErr w:type="spellStart"/>
      <w:r>
        <w:t>PitchBook</w:t>
      </w:r>
      <w:proofErr w:type="spellEnd"/>
      <w:r>
        <w:t xml:space="preserve">, Crunchbase, </w:t>
      </w:r>
      <w:proofErr w:type="spellStart"/>
      <w:r>
        <w:t>LevelTen</w:t>
      </w:r>
      <w:proofErr w:type="spellEnd"/>
      <w:r>
        <w:t>, RCA), and authoritative regulators. It is not a general web index.</w:t>
      </w:r>
    </w:p>
    <w:p w14:paraId="2DA9933E" w14:textId="77777777" w:rsidR="00F44532" w:rsidRDefault="00000000">
      <w:pPr>
        <w:pStyle w:val="ListParagraph"/>
        <w:numPr>
          <w:ilvl w:val="0"/>
          <w:numId w:val="2"/>
        </w:numPr>
        <w:spacing w:after="80" w:line="290" w:lineRule="auto"/>
      </w:pPr>
      <w:r>
        <w:rPr>
          <w:b/>
          <w:bCs/>
        </w:rPr>
        <w:t xml:space="preserve">Retrieval-grounded, not fine-tuned. </w:t>
      </w:r>
      <w:r>
        <w:t>Claude is the synthesis model but does not encode the knowledge. Every factual claim is produced by retrieving specific chunks from the relevant sub-corpus at inference time. Sub-corpora can be updated without retraining; the model can be upgraded without re-curating the corpora.</w:t>
      </w:r>
    </w:p>
    <w:p w14:paraId="5D827DE0" w14:textId="77777777" w:rsidR="00F44532" w:rsidRDefault="00000000">
      <w:pPr>
        <w:spacing w:after="120" w:line="300" w:lineRule="auto"/>
      </w:pPr>
      <w:r>
        <w:rPr>
          <w:color w:val="000000"/>
        </w:rPr>
        <w:t>In plain terms: when an analyst needs to know what authoritative sources say about a Cotton Valley EUR range, a solar capacity factor in West Texas, an absorption rate for Class-B multifamily in Charlotte, or a SaaS net-revenue-retention benchmark, the Reference Engine returns a cited, tier-labeled answer scoped to the relevant sector in seconds rather than analyst-days.</w:t>
      </w:r>
    </w:p>
    <w:p w14:paraId="7223D7BC" w14:textId="77777777" w:rsidR="00F44532" w:rsidRDefault="00000000">
      <w:pPr>
        <w:pStyle w:val="Heading1"/>
      </w:pPr>
      <w:r>
        <w:t>3</w:t>
      </w:r>
      <w:proofErr w:type="gramStart"/>
      <w:r>
        <w:t>.  What</w:t>
      </w:r>
      <w:proofErr w:type="gramEnd"/>
      <w:r>
        <w:t xml:space="preserve"> the R&amp;I Reference Engine Does</w:t>
      </w:r>
    </w:p>
    <w:p w14:paraId="64182D92" w14:textId="77777777" w:rsidR="00F44532" w:rsidRDefault="00000000">
      <w:pPr>
        <w:spacing w:after="120" w:line="300" w:lineRule="auto"/>
      </w:pPr>
      <w:r>
        <w:rPr>
          <w:color w:val="000000"/>
        </w:rPr>
        <w:t>The system supports four primary use cases, each invariant across sectors but specialized through the active sub-corpus and vertical framework:</w:t>
      </w:r>
    </w:p>
    <w:p w14:paraId="0E9937FF" w14:textId="77777777" w:rsidR="00F44532" w:rsidRDefault="00000000">
      <w:pPr>
        <w:pStyle w:val="ListParagraph"/>
        <w:numPr>
          <w:ilvl w:val="0"/>
          <w:numId w:val="2"/>
        </w:numPr>
        <w:spacing w:after="80" w:line="290" w:lineRule="auto"/>
      </w:pPr>
      <w:r>
        <w:rPr>
          <w:b/>
          <w:bCs/>
        </w:rPr>
        <w:t xml:space="preserve">UC-1: Reference Query. </w:t>
      </w:r>
      <w:r>
        <w:t>An analyst submits a natural-language question scoped to a sector — for example, foundational-asset, technical, regulatory, commercial, or infrastructure questions specific to E&amp;P, Renewables, Real Estate, or Technology — and receives a cited reference answer with a confidence level reflecting the tier and corroboration of the underlying sources.</w:t>
      </w:r>
    </w:p>
    <w:p w14:paraId="2705F214" w14:textId="77777777" w:rsidR="00F44532" w:rsidRDefault="00000000">
      <w:pPr>
        <w:pStyle w:val="ListParagraph"/>
        <w:numPr>
          <w:ilvl w:val="0"/>
          <w:numId w:val="2"/>
        </w:numPr>
        <w:spacing w:after="80" w:line="290" w:lineRule="auto"/>
      </w:pPr>
      <w:r>
        <w:rPr>
          <w:b/>
          <w:bCs/>
        </w:rPr>
        <w:t xml:space="preserve">UC-2: Operator / Sponsor Submission Comparison. </w:t>
      </w:r>
      <w:r>
        <w:t>An analyst uploads a sponsor-submitted document (a prospect pitch deck, IE report, bankability study, rent roll and lease abstracts, SaaS metrics package). The system extracts quantitative claims, retrieves authoritative benchmarks from the relevant sub-corpus, and returns a structured variance table classifying each parameter against the appropriate vertical framework.</w:t>
      </w:r>
    </w:p>
    <w:p w14:paraId="2A24A4D6" w14:textId="77777777" w:rsidR="00F44532" w:rsidRDefault="00000000">
      <w:pPr>
        <w:pStyle w:val="ListParagraph"/>
        <w:numPr>
          <w:ilvl w:val="0"/>
          <w:numId w:val="2"/>
        </w:numPr>
        <w:spacing w:after="80" w:line="290" w:lineRule="auto"/>
      </w:pPr>
      <w:r>
        <w:rPr>
          <w:b/>
          <w:bCs/>
        </w:rPr>
        <w:t xml:space="preserve">UC-3: Sector Benchmarking. </w:t>
      </w:r>
      <w:r>
        <w:t>An analyst queries domain-specific benchmarks — type curves and IP30 (E&amp;P), P50/P90 yield and basis (Renewables), cap rates and absorption (Real Estate), ARR growth, NDR, burn multiple, and CAC payback (</w:t>
      </w:r>
      <w:proofErr w:type="gramStart"/>
      <w:r>
        <w:t>Technology) —</w:t>
      </w:r>
      <w:proofErr w:type="gramEnd"/>
      <w:r>
        <w:t xml:space="preserve"> to establish independent evaluation baselines.</w:t>
      </w:r>
    </w:p>
    <w:p w14:paraId="5AD468BA" w14:textId="77777777" w:rsidR="00F44532" w:rsidRDefault="00000000">
      <w:pPr>
        <w:pStyle w:val="ListParagraph"/>
        <w:numPr>
          <w:ilvl w:val="0"/>
          <w:numId w:val="2"/>
        </w:numPr>
        <w:spacing w:after="80" w:line="290" w:lineRule="auto"/>
      </w:pPr>
      <w:r>
        <w:rPr>
          <w:b/>
          <w:bCs/>
        </w:rPr>
        <w:t xml:space="preserve">UC-4: API-Based Risk Engine Feed. </w:t>
      </w:r>
      <w:r>
        <w:t>The TCA Risk Engine submits structured project parameters via REST API and receives a benchmark comparison scored against the five canonical domains and the applicable stage weights of the relevant vertical framework, for direct incorporation into the Universal scoring calculator.</w:t>
      </w:r>
    </w:p>
    <w:p w14:paraId="21C2903F" w14:textId="77777777" w:rsidR="00F44532" w:rsidRDefault="00000000">
      <w:pPr>
        <w:spacing w:after="120" w:line="300" w:lineRule="auto"/>
      </w:pPr>
      <w:r>
        <w:rPr>
          <w:color w:val="000000"/>
        </w:rPr>
        <w:t xml:space="preserve">Every output carries inline citations [Source Name, Section, Date], a confidence indicator, the active framework version, a corpus snapshot ID, and a model version. The interaction is written </w:t>
      </w:r>
      <w:r>
        <w:rPr>
          <w:color w:val="000000"/>
        </w:rPr>
        <w:lastRenderedPageBreak/>
        <w:t>immutably to an audit log retained for seven years, consistent with TCA's RIA regulatory retention obligations and the recordkeeping requirements of the Universal Risk Framework.</w:t>
      </w:r>
    </w:p>
    <w:p w14:paraId="40249136" w14:textId="77777777" w:rsidR="00F44532" w:rsidRDefault="00000000">
      <w:pPr>
        <w:pStyle w:val="Heading1"/>
      </w:pPr>
      <w:r>
        <w:t>4</w:t>
      </w:r>
      <w:proofErr w:type="gramStart"/>
      <w:r>
        <w:t>.  How</w:t>
      </w:r>
      <w:proofErr w:type="gramEnd"/>
      <w:r>
        <w:t xml:space="preserve"> the R&amp;I Reference Engine Is Constructed</w:t>
      </w:r>
    </w:p>
    <w:p w14:paraId="55E393AA" w14:textId="77777777" w:rsidR="00F44532" w:rsidRDefault="00000000">
      <w:pPr>
        <w:pStyle w:val="Heading2"/>
      </w:pPr>
      <w:proofErr w:type="gramStart"/>
      <w:r>
        <w:t>4.1  Four</w:t>
      </w:r>
      <w:proofErr w:type="gramEnd"/>
      <w:r>
        <w:t>-Layer Architecture</w:t>
      </w:r>
    </w:p>
    <w:p w14:paraId="16A4D2CD" w14:textId="77777777" w:rsidR="00F44532" w:rsidRDefault="00000000">
      <w:pPr>
        <w:spacing w:after="120" w:line="300" w:lineRule="auto"/>
      </w:pPr>
      <w:r>
        <w:rPr>
          <w:color w:val="000000"/>
        </w:rPr>
        <w:t xml:space="preserve">The system is built as four independently maintainable layers. Each layer is replaceable without redesigning the others — and each is sector-agnostic by design, adapting to verticals through configuration rather than </w:t>
      </w:r>
      <w:proofErr w:type="spellStart"/>
      <w:r>
        <w:rPr>
          <w:color w:val="000000"/>
        </w:rPr>
        <w:t>rearchitecture</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44532" w14:paraId="52E97B6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37C77B" w14:textId="77777777" w:rsidR="00F44532" w:rsidRDefault="00000000">
            <w:pPr>
              <w:spacing w:after="60"/>
            </w:pPr>
            <w:r>
              <w:rPr>
                <w:b/>
                <w:bCs/>
                <w:color w:val="FFFFFF"/>
                <w:sz w:val="20"/>
                <w:szCs w:val="20"/>
              </w:rPr>
              <w:t>Layer</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EC9EB1" w14:textId="77777777" w:rsidR="00F44532" w:rsidRDefault="00000000">
            <w:pPr>
              <w:spacing w:after="60"/>
            </w:pPr>
            <w:r>
              <w:rPr>
                <w:b/>
                <w:bCs/>
                <w:color w:val="FFFFFF"/>
                <w:sz w:val="20"/>
                <w:szCs w:val="20"/>
              </w:rPr>
              <w:t>Purpose</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A909A16" w14:textId="77777777" w:rsidR="00F44532" w:rsidRDefault="00000000">
            <w:pPr>
              <w:spacing w:after="60"/>
            </w:pPr>
            <w:r>
              <w:rPr>
                <w:b/>
                <w:bCs/>
                <w:color w:val="FFFFFF"/>
                <w:sz w:val="20"/>
                <w:szCs w:val="20"/>
              </w:rPr>
              <w:t>Key Components</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73F0CB" w14:textId="77777777" w:rsidR="00F44532" w:rsidRDefault="00000000">
            <w:pPr>
              <w:spacing w:after="60"/>
            </w:pPr>
            <w:r>
              <w:rPr>
                <w:b/>
                <w:bCs/>
                <w:color w:val="FFFFFF"/>
                <w:sz w:val="20"/>
                <w:szCs w:val="20"/>
              </w:rPr>
              <w:t>Sector Adaptation</w:t>
            </w:r>
          </w:p>
        </w:tc>
      </w:tr>
      <w:tr w:rsidR="00F44532" w14:paraId="22F45B9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10313" w14:textId="77777777" w:rsidR="00F44532" w:rsidRDefault="00000000">
            <w:pPr>
              <w:spacing w:after="60" w:line="280" w:lineRule="auto"/>
            </w:pPr>
            <w:r>
              <w:rPr>
                <w:color w:val="000000"/>
                <w:sz w:val="20"/>
                <w:szCs w:val="20"/>
              </w:rPr>
              <w:t>Layer 1 — Corpus</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4FE11F" w14:textId="77777777" w:rsidR="00F44532" w:rsidRDefault="00000000">
            <w:pPr>
              <w:spacing w:after="60" w:line="280" w:lineRule="auto"/>
            </w:pPr>
            <w:r>
              <w:rPr>
                <w:color w:val="000000"/>
                <w:sz w:val="20"/>
                <w:szCs w:val="20"/>
              </w:rPr>
              <w:t>Acquire, normalize, store, and version authoritative source documents across all sectors.</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7C2758" w14:textId="77777777" w:rsidR="00F44532" w:rsidRDefault="00000000">
            <w:pPr>
              <w:spacing w:after="60" w:line="280" w:lineRule="auto"/>
            </w:pPr>
            <w:r>
              <w:rPr>
                <w:color w:val="000000"/>
                <w:sz w:val="20"/>
                <w:szCs w:val="20"/>
              </w:rPr>
              <w:t>Object storage, ingestion pipeline, sector-aware chunking, metadata DB (PostgreSQL).</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FE46F1" w14:textId="77777777" w:rsidR="00F44532" w:rsidRDefault="00000000">
            <w:pPr>
              <w:spacing w:after="60" w:line="280" w:lineRule="auto"/>
            </w:pPr>
            <w:r>
              <w:rPr>
                <w:color w:val="000000"/>
                <w:sz w:val="20"/>
                <w:szCs w:val="20"/>
              </w:rPr>
              <w:t>Per-sector sub-corpora tagged by vertical; common metadata schema.</w:t>
            </w:r>
          </w:p>
        </w:tc>
      </w:tr>
      <w:tr w:rsidR="00F44532" w14:paraId="75B705D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69EFF2" w14:textId="77777777" w:rsidR="00F44532" w:rsidRDefault="00000000">
            <w:pPr>
              <w:spacing w:after="60" w:line="280" w:lineRule="auto"/>
            </w:pPr>
            <w:r>
              <w:rPr>
                <w:color w:val="000000"/>
                <w:sz w:val="20"/>
                <w:szCs w:val="20"/>
              </w:rPr>
              <w:t>Layer 2 — Indexing</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26CCB6" w14:textId="77777777" w:rsidR="00F44532" w:rsidRDefault="00000000">
            <w:pPr>
              <w:spacing w:after="60" w:line="280" w:lineRule="auto"/>
            </w:pPr>
            <w:r>
              <w:rPr>
                <w:color w:val="000000"/>
                <w:sz w:val="20"/>
                <w:szCs w:val="20"/>
              </w:rPr>
              <w:t xml:space="preserve">Convert chunks into searchable representations supporting meaning and </w:t>
            </w:r>
            <w:proofErr w:type="gramStart"/>
            <w:r>
              <w:rPr>
                <w:color w:val="000000"/>
                <w:sz w:val="20"/>
                <w:szCs w:val="20"/>
              </w:rPr>
              <w:t>exact-match</w:t>
            </w:r>
            <w:proofErr w:type="gramEnd"/>
            <w:r>
              <w:rPr>
                <w:color w:val="000000"/>
                <w:sz w:val="20"/>
                <w:szCs w:val="20"/>
              </w:rPr>
              <w:t>.</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884BFF" w14:textId="77777777" w:rsidR="00F44532" w:rsidRDefault="00000000">
            <w:pPr>
              <w:spacing w:after="60" w:line="280" w:lineRule="auto"/>
            </w:pPr>
            <w:r>
              <w:rPr>
                <w:color w:val="000000"/>
                <w:sz w:val="20"/>
                <w:szCs w:val="20"/>
              </w:rPr>
              <w:t xml:space="preserve">Embedding model, </w:t>
            </w:r>
            <w:proofErr w:type="spellStart"/>
            <w:r>
              <w:rPr>
                <w:color w:val="000000"/>
                <w:sz w:val="20"/>
                <w:szCs w:val="20"/>
              </w:rPr>
              <w:t>pgvector</w:t>
            </w:r>
            <w:proofErr w:type="spellEnd"/>
            <w:r>
              <w:rPr>
                <w:color w:val="000000"/>
                <w:sz w:val="20"/>
                <w:szCs w:val="20"/>
              </w:rPr>
              <w:t>, BM25 keyword index, cross-encoder re-ranker.</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81C00" w14:textId="77777777" w:rsidR="00F44532" w:rsidRDefault="00000000">
            <w:pPr>
              <w:spacing w:after="60" w:line="280" w:lineRule="auto"/>
            </w:pPr>
            <w:r>
              <w:rPr>
                <w:color w:val="000000"/>
                <w:sz w:val="20"/>
                <w:szCs w:val="20"/>
              </w:rPr>
              <w:t>Shared embedding space; sector filters applied at retrieval time.</w:t>
            </w:r>
          </w:p>
        </w:tc>
      </w:tr>
      <w:tr w:rsidR="00F44532" w14:paraId="55D6A13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7DAC8" w14:textId="77777777" w:rsidR="00F44532" w:rsidRDefault="00000000">
            <w:pPr>
              <w:spacing w:after="60" w:line="280" w:lineRule="auto"/>
            </w:pPr>
            <w:r>
              <w:rPr>
                <w:color w:val="000000"/>
                <w:sz w:val="20"/>
                <w:szCs w:val="20"/>
              </w:rPr>
              <w:t>Layer 3 — Retrieval &amp; Synthesis</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40DDD4" w14:textId="77777777" w:rsidR="00F44532" w:rsidRDefault="00000000">
            <w:pPr>
              <w:spacing w:after="60" w:line="280" w:lineRule="auto"/>
            </w:pPr>
            <w:r>
              <w:rPr>
                <w:color w:val="000000"/>
                <w:sz w:val="20"/>
                <w:szCs w:val="20"/>
              </w:rPr>
              <w:t>Filter, retrieve, re-rank, and synthesize a grounded, cited answer.</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8B108B" w14:textId="77777777" w:rsidR="00F44532" w:rsidRDefault="00000000">
            <w:pPr>
              <w:spacing w:after="60" w:line="280" w:lineRule="auto"/>
            </w:pPr>
            <w:r>
              <w:rPr>
                <w:color w:val="000000"/>
                <w:sz w:val="20"/>
                <w:szCs w:val="20"/>
              </w:rPr>
              <w:t>Retrieval orchestrator, filter engine, Anthropic Claude API, output formatter.</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066829" w14:textId="77777777" w:rsidR="00F44532" w:rsidRDefault="00000000">
            <w:pPr>
              <w:spacing w:after="60" w:line="280" w:lineRule="auto"/>
            </w:pPr>
            <w:r>
              <w:rPr>
                <w:color w:val="000000"/>
                <w:sz w:val="20"/>
                <w:szCs w:val="20"/>
              </w:rPr>
              <w:t>Sector context injected into synthesis prompt; outputs scoped to vertical framework.</w:t>
            </w:r>
          </w:p>
        </w:tc>
      </w:tr>
      <w:tr w:rsidR="00F44532" w14:paraId="2ECDF0D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2CCC3" w14:textId="77777777" w:rsidR="00F44532" w:rsidRDefault="00000000">
            <w:pPr>
              <w:spacing w:after="60" w:line="280" w:lineRule="auto"/>
            </w:pPr>
            <w:r>
              <w:rPr>
                <w:color w:val="000000"/>
                <w:sz w:val="20"/>
                <w:szCs w:val="20"/>
              </w:rPr>
              <w:t>Layer 4 — Interface</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62742" w14:textId="77777777" w:rsidR="00F44532" w:rsidRDefault="00000000">
            <w:pPr>
              <w:spacing w:after="60" w:line="280" w:lineRule="auto"/>
            </w:pPr>
            <w:r>
              <w:rPr>
                <w:color w:val="000000"/>
                <w:sz w:val="20"/>
                <w:szCs w:val="20"/>
              </w:rPr>
              <w:t>Provide analyst UI and a documented REST API mapped to the Universal Risk Framework.</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D07AF" w14:textId="77777777" w:rsidR="00F44532" w:rsidRDefault="00000000">
            <w:pPr>
              <w:spacing w:after="60" w:line="280" w:lineRule="auto"/>
            </w:pPr>
            <w:r>
              <w:rPr>
                <w:color w:val="000000"/>
                <w:sz w:val="20"/>
                <w:szCs w:val="20"/>
              </w:rPr>
              <w:t xml:space="preserve">React/TypeScript web app, </w:t>
            </w:r>
            <w:proofErr w:type="spellStart"/>
            <w:r>
              <w:rPr>
                <w:color w:val="000000"/>
                <w:sz w:val="20"/>
                <w:szCs w:val="20"/>
              </w:rPr>
              <w:t>FastAPI</w:t>
            </w:r>
            <w:proofErr w:type="spellEnd"/>
            <w:r>
              <w:rPr>
                <w:color w:val="000000"/>
                <w:sz w:val="20"/>
                <w:szCs w:val="20"/>
              </w:rPr>
              <w:t xml:space="preserve"> REST server, Nginx, Auth0/Cognito, JWT.</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CB663" w14:textId="77777777" w:rsidR="00F44532" w:rsidRDefault="00000000">
            <w:pPr>
              <w:spacing w:after="60" w:line="280" w:lineRule="auto"/>
            </w:pPr>
            <w:r>
              <w:rPr>
                <w:color w:val="000000"/>
                <w:sz w:val="20"/>
                <w:szCs w:val="20"/>
              </w:rPr>
              <w:t>Sector selector at session start; responses tagged to the active vertical framework.</w:t>
            </w:r>
          </w:p>
        </w:tc>
      </w:tr>
    </w:tbl>
    <w:p w14:paraId="2D9E6D0F" w14:textId="77777777" w:rsidR="00F44532" w:rsidRDefault="00F44532">
      <w:pPr>
        <w:spacing w:after="160"/>
      </w:pPr>
    </w:p>
    <w:p w14:paraId="31CAAE51" w14:textId="77777777" w:rsidR="00F44532" w:rsidRDefault="00000000">
      <w:pPr>
        <w:pStyle w:val="Heading2"/>
      </w:pPr>
      <w:proofErr w:type="gramStart"/>
      <w:r>
        <w:t>4.2  Sector</w:t>
      </w:r>
      <w:proofErr w:type="gramEnd"/>
      <w:r>
        <w:t xml:space="preserve"> Adaptation Model</w:t>
      </w:r>
    </w:p>
    <w:p w14:paraId="478E3969" w14:textId="77777777" w:rsidR="00F44532" w:rsidRDefault="00000000">
      <w:pPr>
        <w:spacing w:after="120" w:line="300" w:lineRule="auto"/>
      </w:pPr>
      <w:r>
        <w:rPr>
          <w:color w:val="000000"/>
        </w:rPr>
        <w:t xml:space="preserve">Sector adaptation is implemented at three points and nowhere else. First, the corpus is partitioned into vertical sub-corpora, each curated by sector-specialist sources and tagged with formation/basin (E&amp;P), resource/technology (Renewables), MSA/asset-subtype (Real Estate), or sub-sector (Technology) metadata. Second, queries are filtered at retrieval time by sector and by the standard fields of the active vertical framework. Third, the synthesis prompt injects the active sector context and the relevant domain definitions from the Universal taxonomy, so outputs are framed in the language of the vertical (geology and reservoir for E&amp;P, yield and </w:t>
      </w:r>
      <w:r>
        <w:rPr>
          <w:color w:val="000000"/>
        </w:rPr>
        <w:lastRenderedPageBreak/>
        <w:t>interconnection for Renewables, location and tenancy for Real Estate, product-market fit and unit economics for Technology).</w:t>
      </w:r>
    </w:p>
    <w:p w14:paraId="363D3EC5" w14:textId="77777777" w:rsidR="00F44532" w:rsidRDefault="00000000">
      <w:pPr>
        <w:spacing w:after="120" w:line="300" w:lineRule="auto"/>
      </w:pPr>
      <w:r>
        <w:rPr>
          <w:color w:val="000000"/>
        </w:rPr>
        <w:t>The Universal taxonomy is what makes this work. The five domains are stable across sectors; only the language and reference data change. The translation matrix below — drawn directly from TCA-UNIV-001-v1.0 — is what the Engine encodes: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15"/>
        <w:gridCol w:w="1915"/>
        <w:gridCol w:w="1915"/>
        <w:gridCol w:w="1915"/>
      </w:tblGrid>
      <w:tr w:rsidR="00F44532" w14:paraId="2B71C1A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69DEC4C" w14:textId="77777777" w:rsidR="00F44532" w:rsidRDefault="00000000">
            <w:pPr>
              <w:spacing w:after="60"/>
            </w:pPr>
            <w:r>
              <w:rPr>
                <w:b/>
                <w:bCs/>
                <w:color w:val="FFFFFF"/>
                <w:sz w:val="20"/>
                <w:szCs w:val="20"/>
              </w:rPr>
              <w:t>TCA Universal Domain</w:t>
            </w:r>
          </w:p>
        </w:tc>
        <w:tc>
          <w:tcPr>
            <w:tcW w:w="19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37F0C8E" w14:textId="77777777" w:rsidR="00F44532" w:rsidRDefault="00000000">
            <w:pPr>
              <w:spacing w:after="60"/>
            </w:pPr>
            <w:r>
              <w:rPr>
                <w:b/>
                <w:bCs/>
                <w:color w:val="FFFFFF"/>
                <w:sz w:val="20"/>
                <w:szCs w:val="20"/>
              </w:rPr>
              <w:t>E&amp;P Upstream</w:t>
            </w:r>
          </w:p>
        </w:tc>
        <w:tc>
          <w:tcPr>
            <w:tcW w:w="19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118178" w14:textId="77777777" w:rsidR="00F44532" w:rsidRDefault="00000000">
            <w:pPr>
              <w:spacing w:after="60"/>
            </w:pPr>
            <w:r>
              <w:rPr>
                <w:b/>
                <w:bCs/>
                <w:color w:val="FFFFFF"/>
                <w:sz w:val="20"/>
                <w:szCs w:val="20"/>
              </w:rPr>
              <w:t>Renewables</w:t>
            </w:r>
          </w:p>
        </w:tc>
        <w:tc>
          <w:tcPr>
            <w:tcW w:w="19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6A0C949" w14:textId="77777777" w:rsidR="00F44532" w:rsidRDefault="00000000">
            <w:pPr>
              <w:spacing w:after="60"/>
            </w:pPr>
            <w:r>
              <w:rPr>
                <w:b/>
                <w:bCs/>
                <w:color w:val="FFFFFF"/>
                <w:sz w:val="20"/>
                <w:szCs w:val="20"/>
              </w:rPr>
              <w:t>Real Estate</w:t>
            </w:r>
          </w:p>
        </w:tc>
        <w:tc>
          <w:tcPr>
            <w:tcW w:w="19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156D68D" w14:textId="77777777" w:rsidR="00F44532" w:rsidRDefault="00000000">
            <w:pPr>
              <w:spacing w:after="60"/>
            </w:pPr>
            <w:r>
              <w:rPr>
                <w:b/>
                <w:bCs/>
                <w:color w:val="FFFFFF"/>
                <w:sz w:val="20"/>
                <w:szCs w:val="20"/>
              </w:rPr>
              <w:t>Technology</w:t>
            </w:r>
          </w:p>
        </w:tc>
      </w:tr>
      <w:tr w:rsidR="00F44532" w14:paraId="10B9F26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1FFDC3" w14:textId="77777777" w:rsidR="00F44532" w:rsidRDefault="00000000">
            <w:pPr>
              <w:spacing w:after="60" w:line="280" w:lineRule="auto"/>
            </w:pPr>
            <w:r>
              <w:rPr>
                <w:b/>
                <w:bCs/>
                <w:color w:val="000000"/>
                <w:sz w:val="19"/>
                <w:szCs w:val="19"/>
              </w:rPr>
              <w:t>Foundational / Asset (FR)</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56FB9A" w14:textId="77777777" w:rsidR="00F44532" w:rsidRDefault="00000000">
            <w:pPr>
              <w:spacing w:after="60" w:line="280" w:lineRule="auto"/>
            </w:pPr>
            <w:r>
              <w:rPr>
                <w:color w:val="000000"/>
                <w:sz w:val="19"/>
                <w:szCs w:val="19"/>
              </w:rPr>
              <w:t>Geological &amp; Reservoir Risk</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FF3404" w14:textId="77777777" w:rsidR="00F44532" w:rsidRDefault="00000000">
            <w:pPr>
              <w:spacing w:after="60" w:line="280" w:lineRule="auto"/>
            </w:pPr>
            <w:r>
              <w:rPr>
                <w:color w:val="000000"/>
                <w:sz w:val="19"/>
                <w:szCs w:val="19"/>
              </w:rPr>
              <w:t>Resource &amp; Energy Yield</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B349B" w14:textId="77777777" w:rsidR="00F44532" w:rsidRDefault="00000000">
            <w:pPr>
              <w:spacing w:after="60" w:line="280" w:lineRule="auto"/>
            </w:pPr>
            <w:r>
              <w:rPr>
                <w:color w:val="000000"/>
                <w:sz w:val="19"/>
                <w:szCs w:val="19"/>
              </w:rPr>
              <w:t>Location &amp; Market Risk</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DC5CD" w14:textId="77777777" w:rsidR="00F44532" w:rsidRDefault="00000000">
            <w:pPr>
              <w:spacing w:after="60" w:line="280" w:lineRule="auto"/>
            </w:pPr>
            <w:r>
              <w:rPr>
                <w:color w:val="000000"/>
                <w:sz w:val="19"/>
                <w:szCs w:val="19"/>
              </w:rPr>
              <w:t>Product-Market Fit</w:t>
            </w:r>
          </w:p>
        </w:tc>
      </w:tr>
      <w:tr w:rsidR="00F44532" w14:paraId="32C5727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947A2F" w14:textId="77777777" w:rsidR="00F44532" w:rsidRDefault="00000000">
            <w:pPr>
              <w:spacing w:after="60" w:line="280" w:lineRule="auto"/>
            </w:pPr>
            <w:r>
              <w:rPr>
                <w:b/>
                <w:bCs/>
                <w:color w:val="000000"/>
                <w:sz w:val="19"/>
                <w:szCs w:val="19"/>
              </w:rPr>
              <w:t>Technical &amp; Execution (TE)</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203C16" w14:textId="77777777" w:rsidR="00F44532" w:rsidRDefault="00000000">
            <w:pPr>
              <w:spacing w:after="60" w:line="280" w:lineRule="auto"/>
            </w:pPr>
            <w:r>
              <w:rPr>
                <w:color w:val="000000"/>
                <w:sz w:val="19"/>
                <w:szCs w:val="19"/>
              </w:rPr>
              <w:t>Drilling &amp; Execution Risk</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DD7C3" w14:textId="77777777" w:rsidR="00F44532" w:rsidRDefault="00000000">
            <w:pPr>
              <w:spacing w:after="60" w:line="280" w:lineRule="auto"/>
            </w:pPr>
            <w:r>
              <w:rPr>
                <w:color w:val="000000"/>
                <w:sz w:val="19"/>
                <w:szCs w:val="19"/>
              </w:rPr>
              <w:t>Technical &amp; Construction</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AF70F" w14:textId="77777777" w:rsidR="00F44532" w:rsidRDefault="00000000">
            <w:pPr>
              <w:spacing w:after="60" w:line="280" w:lineRule="auto"/>
            </w:pPr>
            <w:r>
              <w:rPr>
                <w:color w:val="000000"/>
                <w:sz w:val="19"/>
                <w:szCs w:val="19"/>
              </w:rPr>
              <w:t>Development &amp; Construction</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24D328" w14:textId="77777777" w:rsidR="00F44532" w:rsidRDefault="00000000">
            <w:pPr>
              <w:spacing w:after="60" w:line="280" w:lineRule="auto"/>
            </w:pPr>
            <w:r>
              <w:rPr>
                <w:color w:val="000000"/>
                <w:sz w:val="19"/>
                <w:szCs w:val="19"/>
              </w:rPr>
              <w:t>Technology &amp; Execution</w:t>
            </w:r>
          </w:p>
        </w:tc>
      </w:tr>
      <w:tr w:rsidR="00F44532" w14:paraId="47038DF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C5C76D" w14:textId="77777777" w:rsidR="00F44532" w:rsidRDefault="00000000">
            <w:pPr>
              <w:spacing w:after="60" w:line="280" w:lineRule="auto"/>
            </w:pPr>
            <w:r>
              <w:rPr>
                <w:b/>
                <w:bCs/>
                <w:color w:val="000000"/>
                <w:sz w:val="19"/>
                <w:szCs w:val="19"/>
              </w:rPr>
              <w:t>Regulatory &amp; External (RE)</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08C45" w14:textId="77777777" w:rsidR="00F44532" w:rsidRDefault="00000000">
            <w:pPr>
              <w:spacing w:after="60" w:line="280" w:lineRule="auto"/>
            </w:pPr>
            <w:r>
              <w:rPr>
                <w:color w:val="000000"/>
                <w:sz w:val="19"/>
                <w:szCs w:val="19"/>
              </w:rPr>
              <w:t>Regulatory &amp; Environmental</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20D94" w14:textId="77777777" w:rsidR="00F44532" w:rsidRDefault="00000000">
            <w:pPr>
              <w:spacing w:after="60" w:line="280" w:lineRule="auto"/>
            </w:pPr>
            <w:r>
              <w:rPr>
                <w:color w:val="000000"/>
                <w:sz w:val="19"/>
                <w:szCs w:val="19"/>
              </w:rPr>
              <w:t>Regulatory &amp; Policy</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1FD0CB" w14:textId="77777777" w:rsidR="00F44532" w:rsidRDefault="00000000">
            <w:pPr>
              <w:spacing w:after="60" w:line="280" w:lineRule="auto"/>
            </w:pPr>
            <w:r>
              <w:rPr>
                <w:color w:val="000000"/>
                <w:sz w:val="19"/>
                <w:szCs w:val="19"/>
              </w:rPr>
              <w:t>Regulatory &amp; Legal</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99B00B" w14:textId="77777777" w:rsidR="00F44532" w:rsidRDefault="00000000">
            <w:pPr>
              <w:spacing w:after="60" w:line="280" w:lineRule="auto"/>
            </w:pPr>
            <w:r>
              <w:rPr>
                <w:color w:val="000000"/>
                <w:sz w:val="19"/>
                <w:szCs w:val="19"/>
              </w:rPr>
              <w:t>Regulatory &amp; Platform</w:t>
            </w:r>
          </w:p>
        </w:tc>
      </w:tr>
      <w:tr w:rsidR="00F44532" w14:paraId="1730D52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69C27F" w14:textId="77777777" w:rsidR="00F44532" w:rsidRDefault="00000000">
            <w:pPr>
              <w:spacing w:after="60" w:line="280" w:lineRule="auto"/>
            </w:pPr>
            <w:r>
              <w:rPr>
                <w:b/>
                <w:bCs/>
                <w:color w:val="000000"/>
                <w:sz w:val="19"/>
                <w:szCs w:val="19"/>
              </w:rPr>
              <w:t>Commercial &amp; Financial (CF)</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5781D0" w14:textId="77777777" w:rsidR="00F44532" w:rsidRDefault="00000000">
            <w:pPr>
              <w:spacing w:after="60" w:line="280" w:lineRule="auto"/>
            </w:pPr>
            <w:r>
              <w:rPr>
                <w:color w:val="000000"/>
                <w:sz w:val="19"/>
                <w:szCs w:val="19"/>
              </w:rPr>
              <w:t>Commercial &amp; Financial Risk</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1BF62F" w14:textId="77777777" w:rsidR="00F44532" w:rsidRDefault="00000000">
            <w:pPr>
              <w:spacing w:after="60" w:line="280" w:lineRule="auto"/>
            </w:pPr>
            <w:r>
              <w:rPr>
                <w:color w:val="000000"/>
                <w:sz w:val="19"/>
                <w:szCs w:val="19"/>
              </w:rPr>
              <w:t>Commercial &amp; Financial</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038F2" w14:textId="77777777" w:rsidR="00F44532" w:rsidRDefault="00000000">
            <w:pPr>
              <w:spacing w:after="60" w:line="280" w:lineRule="auto"/>
            </w:pPr>
            <w:r>
              <w:rPr>
                <w:color w:val="000000"/>
                <w:sz w:val="19"/>
                <w:szCs w:val="19"/>
              </w:rPr>
              <w:t>Tenant &amp; Cash Flow</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558DE2" w14:textId="77777777" w:rsidR="00F44532" w:rsidRDefault="00000000">
            <w:pPr>
              <w:spacing w:after="60" w:line="280" w:lineRule="auto"/>
            </w:pPr>
            <w:r>
              <w:rPr>
                <w:color w:val="000000"/>
                <w:sz w:val="19"/>
                <w:szCs w:val="19"/>
              </w:rPr>
              <w:t>Financial &amp; Capital</w:t>
            </w:r>
          </w:p>
        </w:tc>
      </w:tr>
      <w:tr w:rsidR="00F44532" w14:paraId="0D80E67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6DAF34" w14:textId="77777777" w:rsidR="00F44532" w:rsidRDefault="00000000">
            <w:pPr>
              <w:spacing w:after="60" w:line="280" w:lineRule="auto"/>
            </w:pPr>
            <w:r>
              <w:rPr>
                <w:b/>
                <w:bCs/>
                <w:color w:val="000000"/>
                <w:sz w:val="19"/>
                <w:szCs w:val="19"/>
              </w:rPr>
              <w:t>Infrastructure &amp; Market (IM)</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731A9" w14:textId="77777777" w:rsidR="00F44532" w:rsidRDefault="00000000">
            <w:pPr>
              <w:spacing w:after="60" w:line="280" w:lineRule="auto"/>
            </w:pPr>
            <w:r>
              <w:rPr>
                <w:color w:val="000000"/>
                <w:sz w:val="19"/>
                <w:szCs w:val="19"/>
              </w:rPr>
              <w:t>Infrastructure &amp; Market</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8FD15" w14:textId="77777777" w:rsidR="00F44532" w:rsidRDefault="00000000">
            <w:pPr>
              <w:spacing w:after="60" w:line="280" w:lineRule="auto"/>
            </w:pPr>
            <w:r>
              <w:rPr>
                <w:color w:val="000000"/>
                <w:sz w:val="19"/>
                <w:szCs w:val="19"/>
              </w:rPr>
              <w:t>Infrastructure &amp; Market</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C1DC8E" w14:textId="77777777" w:rsidR="00F44532" w:rsidRDefault="00000000">
            <w:pPr>
              <w:spacing w:after="60" w:line="280" w:lineRule="auto"/>
            </w:pPr>
            <w:r>
              <w:rPr>
                <w:color w:val="000000"/>
                <w:sz w:val="19"/>
                <w:szCs w:val="19"/>
              </w:rPr>
              <w:t>Capital Markets &amp; Liquidity</w:t>
            </w:r>
          </w:p>
        </w:tc>
        <w:tc>
          <w:tcPr>
            <w:tcW w:w="191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709D4" w14:textId="77777777" w:rsidR="00F44532" w:rsidRDefault="00000000">
            <w:pPr>
              <w:spacing w:after="60" w:line="280" w:lineRule="auto"/>
            </w:pPr>
            <w:r>
              <w:rPr>
                <w:color w:val="000000"/>
                <w:sz w:val="19"/>
                <w:szCs w:val="19"/>
              </w:rPr>
              <w:t>Competitive &amp; Strategic</w:t>
            </w:r>
          </w:p>
        </w:tc>
      </w:tr>
    </w:tbl>
    <w:p w14:paraId="2516B5B5" w14:textId="77777777" w:rsidR="00F44532" w:rsidRDefault="00F44532">
      <w:pPr>
        <w:spacing w:after="160"/>
      </w:pPr>
    </w:p>
    <w:p w14:paraId="73459CFE" w14:textId="77777777" w:rsidR="00F44532" w:rsidRDefault="00000000">
      <w:pPr>
        <w:pStyle w:val="Heading2"/>
      </w:pPr>
      <w:proofErr w:type="gramStart"/>
      <w:r>
        <w:t>4.3  Standard</w:t>
      </w:r>
      <w:proofErr w:type="gramEnd"/>
      <w:r>
        <w:t xml:space="preserve"> Query Flow</w:t>
      </w:r>
    </w:p>
    <w:p w14:paraId="50A4BDF9" w14:textId="77777777" w:rsidR="00F44532" w:rsidRDefault="00000000">
      <w:pPr>
        <w:spacing w:after="120" w:line="300" w:lineRule="auto"/>
      </w:pPr>
      <w:r>
        <w:rPr>
          <w:color w:val="000000"/>
        </w:rPr>
        <w:t>A query proceeds through the architecture as follows. The analyst selects the active sector and submits a question with optional filters (source tier, sector-specific tags, date range, domain). The retrieval orchestrator issues a vector similarity query and a BM25 keyword query in parallel against the active sub-corpus; results are merged via Reciprocal Rank Fusion. A cross-encoder re-ranker scores the merged candidates, and the top-k chunks pass to the Claude API together with the query, a grounding prompt, and the active vertical-framework context. Claude generates a synthesis response with inline citations. The output formatter attaches the confidence indicator, source-tier breakdown, framework version, and provenance metadata before returning the response to the caller. Target end-to-end latency is under five seconds at p95 (NFR-001).</w:t>
      </w:r>
    </w:p>
    <w:p w14:paraId="5B18E37B" w14:textId="77777777" w:rsidR="00F44532" w:rsidRDefault="00000000">
      <w:pPr>
        <w:pStyle w:val="Heading2"/>
      </w:pPr>
      <w:proofErr w:type="gramStart"/>
      <w:r>
        <w:t>4.4  Build</w:t>
      </w:r>
      <w:proofErr w:type="gramEnd"/>
      <w:r>
        <w:t xml:space="preserve"> Model and Delivery</w:t>
      </w:r>
    </w:p>
    <w:p w14:paraId="64DBC058" w14:textId="77777777" w:rsidR="00F44532" w:rsidRDefault="00000000">
      <w:pPr>
        <w:spacing w:after="120" w:line="300" w:lineRule="auto"/>
      </w:pPr>
      <w:r>
        <w:rPr>
          <w:color w:val="000000"/>
        </w:rPr>
        <w:t>The system is built using the 2678 Holdings technology delivery model. Claude is the primary development resource: application architecture, retrieval logic, prompt engineering, code generation, and quality testing. A Senior Systems Engineer engaged on a part-time contracting basis handles infrastructure provisioning, vector database administration, security configuration, deployment, and knowledge transfer. MRB acts as product owner; Stan Hua provides cross-</w:t>
      </w:r>
      <w:r>
        <w:rPr>
          <w:color w:val="000000"/>
        </w:rPr>
        <w:lastRenderedPageBreak/>
        <w:t>entity technical oversight; the CRO governs conformance of each vertical framework to the Universal Framework.</w:t>
      </w:r>
    </w:p>
    <w:p w14:paraId="5D6EE7ED" w14:textId="77777777" w:rsidR="00F44532" w:rsidRDefault="00000000">
      <w:pPr>
        <w:spacing w:after="120" w:line="300" w:lineRule="auto"/>
      </w:pPr>
      <w:r>
        <w:rPr>
          <w:color w:val="000000"/>
        </w:rPr>
        <w:t>Total project duration is 20 weeks across four phases: Foundation &amp; Corpus Planning (weeks 1–3), Corpus Ingestion &amp; Indexing (weeks 4–8), R&amp;I Interface Build (weeks 9–14), and Hardening &amp; Handoff (weeks 15–20). The initial production launch loads the E&amp;P sub-corpus first (consistent with the live Henderson County use case), with Renewables, Real Estate, and Technology sub-corpora onboarded sequentially under the same architecture. Estimated external cost is approximately $34,500 in SE contractor fees plus $800–$2,000 per month in steady-state infrastructure — a fraction of the $437,000 Snowflake Professional Services proposal reviewed in December 2025.</w:t>
      </w:r>
    </w:p>
    <w:p w14:paraId="02C467E3" w14:textId="77777777" w:rsidR="00F44532" w:rsidRDefault="00000000">
      <w:pPr>
        <w:pStyle w:val="Heading2"/>
      </w:pPr>
      <w:proofErr w:type="gramStart"/>
      <w:r>
        <w:t>4.5  Critical</w:t>
      </w:r>
      <w:proofErr w:type="gramEnd"/>
      <w:r>
        <w:t xml:space="preserve"> Dependencies and Corpus Governance</w:t>
      </w:r>
    </w:p>
    <w:p w14:paraId="43D21B73" w14:textId="77777777" w:rsidR="00F44532" w:rsidRDefault="00000000">
      <w:pPr>
        <w:spacing w:after="120" w:line="300" w:lineRule="auto"/>
      </w:pPr>
      <w:r>
        <w:rPr>
          <w:color w:val="000000"/>
        </w:rPr>
        <w:t xml:space="preserve">The system has two critical-path external dependencies: the Anthropic Claude API (synthesis) and the embedding-model API (selection finalized in Phase 1). Beyond these, sector-specific data sources include EIA, Texas RRC, USGS, </w:t>
      </w:r>
      <w:proofErr w:type="spellStart"/>
      <w:r>
        <w:rPr>
          <w:color w:val="000000"/>
        </w:rPr>
        <w:t>NoviLabs</w:t>
      </w:r>
      <w:proofErr w:type="spellEnd"/>
      <w:r>
        <w:rPr>
          <w:color w:val="000000"/>
        </w:rPr>
        <w:t>, SPE/</w:t>
      </w:r>
      <w:proofErr w:type="spellStart"/>
      <w:r>
        <w:rPr>
          <w:color w:val="000000"/>
        </w:rPr>
        <w:t>OnePetro</w:t>
      </w:r>
      <w:proofErr w:type="spellEnd"/>
      <w:r>
        <w:rPr>
          <w:color w:val="000000"/>
        </w:rPr>
        <w:t xml:space="preserve"> for E&amp;P; NREL, FERC, ISO interconnection queues, DSIRE, </w:t>
      </w:r>
      <w:proofErr w:type="spellStart"/>
      <w:r>
        <w:rPr>
          <w:color w:val="000000"/>
        </w:rPr>
        <w:t>LevelTen</w:t>
      </w:r>
      <w:proofErr w:type="spellEnd"/>
      <w:r>
        <w:rPr>
          <w:color w:val="000000"/>
        </w:rPr>
        <w:t xml:space="preserve"> for Renewables; CoStar, RCA, JLL, FEMA, Census, ALTA title records for Real Estate; SEC EDGAR, Crunchbase, </w:t>
      </w:r>
      <w:proofErr w:type="spellStart"/>
      <w:r>
        <w:rPr>
          <w:color w:val="000000"/>
        </w:rPr>
        <w:t>PitchBook</w:t>
      </w:r>
      <w:proofErr w:type="spellEnd"/>
      <w:r>
        <w:rPr>
          <w:color w:val="000000"/>
        </w:rPr>
        <w:t>, G2, industry analyst reports for Technology. SEC EDGAR is consumed across multiple sectors. Cloud hosting selection (AWS, GCP, or Azure) is deferred to the Phase 1 architecture review.</w:t>
      </w:r>
    </w:p>
    <w:p w14:paraId="6E73D628" w14:textId="77777777" w:rsidR="00F44532" w:rsidRDefault="00000000">
      <w:pPr>
        <w:spacing w:after="120" w:line="300" w:lineRule="auto"/>
      </w:pPr>
      <w:r>
        <w:rPr>
          <w:color w:val="000000"/>
        </w:rPr>
        <w:t xml:space="preserve">Corpus governance is </w:t>
      </w:r>
      <w:proofErr w:type="gramStart"/>
      <w:r>
        <w:rPr>
          <w:color w:val="000000"/>
        </w:rPr>
        <w:t>sector-aware</w:t>
      </w:r>
      <w:proofErr w:type="gramEnd"/>
      <w:r>
        <w:rPr>
          <w:color w:val="000000"/>
        </w:rPr>
        <w:t>. Each sub-corpus enforces the same three-tier reliability classification (Tier 1 primary authoritative, Tier 2 industry standard, Tier 3 secondary/contextual), is reviewed on the same monthly/quarterly cadence, and is governed by the same source-qualification, retirement, and emergency-action protocols. The CRO must approve any change that affects how the Engine maps retrievals to the Universal domains.</w:t>
      </w:r>
    </w:p>
    <w:p w14:paraId="6CEBA308" w14:textId="77777777" w:rsidR="00F44532" w:rsidRDefault="00000000">
      <w:pPr>
        <w:pStyle w:val="Heading1"/>
      </w:pPr>
      <w:r>
        <w:t>5</w:t>
      </w:r>
      <w:proofErr w:type="gramStart"/>
      <w:r>
        <w:t>.  Role</w:t>
      </w:r>
      <w:proofErr w:type="gramEnd"/>
      <w:r>
        <w:t xml:space="preserve"> of the Reference Engine in the TCA Workflow</w:t>
      </w:r>
    </w:p>
    <w:p w14:paraId="26DA5654" w14:textId="77777777" w:rsidR="00F44532" w:rsidRDefault="00000000">
      <w:pPr>
        <w:spacing w:after="120" w:line="300" w:lineRule="auto"/>
      </w:pPr>
      <w:r>
        <w:rPr>
          <w:color w:val="000000"/>
        </w:rPr>
        <w:t>The Reference Engine sits between the inbound sponsor submission and the outbound Viability Opinion Report. It is the layer at which sponsor-provided claims are tested against independent authoritative benchmarks — drawn from the appropriate sector sub-corpus — before any risk score, viability grade, or capital allocation gate decision is rendered.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44532" w14:paraId="07FEE2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12EA810" w14:textId="77777777" w:rsidR="00F44532" w:rsidRDefault="00000000">
            <w:pPr>
              <w:spacing w:after="60"/>
            </w:pPr>
            <w:r>
              <w:rPr>
                <w:b/>
                <w:bCs/>
                <w:color w:val="FFFFFF"/>
                <w:sz w:val="20"/>
                <w:szCs w:val="20"/>
              </w:rPr>
              <w:t>Workflow Role</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5F23599" w14:textId="77777777" w:rsidR="00F44532" w:rsidRDefault="00000000">
            <w:pPr>
              <w:spacing w:after="60"/>
            </w:pPr>
            <w:r>
              <w:rPr>
                <w:b/>
                <w:bCs/>
                <w:color w:val="FFFFFF"/>
                <w:sz w:val="20"/>
                <w:szCs w:val="20"/>
              </w:rPr>
              <w:t>How the Reference Engine Is Used</w:t>
            </w:r>
          </w:p>
        </w:tc>
      </w:tr>
      <w:tr w:rsidR="00F44532" w14:paraId="38EA3F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446A58" w14:textId="0B9F1CB7" w:rsidR="00F44532" w:rsidRDefault="00000000">
            <w:pPr>
              <w:spacing w:after="60" w:line="280" w:lineRule="auto"/>
            </w:pPr>
            <w:r>
              <w:rPr>
                <w:b/>
                <w:bCs/>
                <w:color w:val="000000"/>
                <w:sz w:val="20"/>
                <w:szCs w:val="20"/>
              </w:rPr>
              <w:t xml:space="preserve">R&amp;I Function </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098FF" w14:textId="77777777" w:rsidR="00F44532" w:rsidRDefault="00000000">
            <w:pPr>
              <w:spacing w:after="60" w:line="280" w:lineRule="auto"/>
            </w:pPr>
            <w:r>
              <w:rPr>
                <w:color w:val="000000"/>
                <w:sz w:val="20"/>
                <w:szCs w:val="20"/>
              </w:rPr>
              <w:t xml:space="preserve">Primary daily users. Select the relevant sector </w:t>
            </w:r>
            <w:proofErr w:type="gramStart"/>
            <w:r>
              <w:rPr>
                <w:color w:val="000000"/>
                <w:sz w:val="20"/>
                <w:szCs w:val="20"/>
              </w:rPr>
              <w:t>at session</w:t>
            </w:r>
            <w:proofErr w:type="gramEnd"/>
            <w:r>
              <w:rPr>
                <w:color w:val="000000"/>
                <w:sz w:val="20"/>
                <w:szCs w:val="20"/>
              </w:rPr>
              <w:t xml:space="preserve"> start; submit natural-language queries about the foundational asset, technical, regulatory, commercial, and infrastructure dimensions of a project; upload operator-submitted documents for variance analysis; export cited outputs into the Viability Opinion Report workflow.</w:t>
            </w:r>
          </w:p>
        </w:tc>
      </w:tr>
      <w:tr w:rsidR="00F44532" w14:paraId="53AACC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83F229" w14:textId="77777777" w:rsidR="00F44532" w:rsidRDefault="00000000">
            <w:pPr>
              <w:spacing w:after="60" w:line="280" w:lineRule="auto"/>
            </w:pPr>
            <w:r>
              <w:rPr>
                <w:b/>
                <w:bCs/>
                <w:color w:val="000000"/>
                <w:sz w:val="20"/>
                <w:szCs w:val="20"/>
              </w:rPr>
              <w:t>Risk Function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EDD255" w14:textId="77777777" w:rsidR="00F44532" w:rsidRDefault="00000000">
            <w:pPr>
              <w:spacing w:after="60" w:line="280" w:lineRule="auto"/>
            </w:pPr>
            <w:r>
              <w:rPr>
                <w:color w:val="000000"/>
                <w:sz w:val="20"/>
                <w:szCs w:val="20"/>
              </w:rPr>
              <w:t>Consumes the /compare endpoint programmatically. Project parameters are submitted in the form prescribed by the relevant vertical framework (E&amp;P-</w:t>
            </w:r>
            <w:r>
              <w:rPr>
                <w:color w:val="000000"/>
                <w:sz w:val="20"/>
                <w:szCs w:val="20"/>
              </w:rPr>
              <w:lastRenderedPageBreak/>
              <w:t>001, REN-001, RE-001, TECH-001) and a structured variance table is returned, scored against the five canonical domains and the applicable stage weights for direct use in the Risk Engine scorecard.</w:t>
            </w:r>
          </w:p>
        </w:tc>
      </w:tr>
      <w:tr w:rsidR="00F44532" w14:paraId="5BD768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79672C" w14:textId="721D4835" w:rsidR="00F44532" w:rsidRDefault="00000000">
            <w:pPr>
              <w:spacing w:after="60" w:line="280" w:lineRule="auto"/>
            </w:pPr>
            <w:r>
              <w:rPr>
                <w:b/>
                <w:bCs/>
                <w:color w:val="000000"/>
                <w:sz w:val="20"/>
                <w:szCs w:val="20"/>
              </w:rPr>
              <w:lastRenderedPageBreak/>
              <w:t xml:space="preserve">Technical Oversight </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77FAA4" w14:textId="77777777" w:rsidR="00F44532" w:rsidRDefault="00000000">
            <w:pPr>
              <w:spacing w:after="60" w:line="280" w:lineRule="auto"/>
            </w:pPr>
            <w:r>
              <w:rPr>
                <w:color w:val="000000"/>
                <w:sz w:val="20"/>
                <w:szCs w:val="20"/>
              </w:rPr>
              <w:t xml:space="preserve">Administers the Corpus Management Console across all </w:t>
            </w:r>
            <w:proofErr w:type="gramStart"/>
            <w:r>
              <w:rPr>
                <w:color w:val="000000"/>
                <w:sz w:val="20"/>
                <w:szCs w:val="20"/>
              </w:rPr>
              <w:t>sector</w:t>
            </w:r>
            <w:proofErr w:type="gramEnd"/>
            <w:r>
              <w:rPr>
                <w:color w:val="000000"/>
                <w:sz w:val="20"/>
                <w:szCs w:val="20"/>
              </w:rPr>
              <w:t xml:space="preserve"> sub-corpora; approves embedding model upgrades, source qualification, and corpus governance actions; receives P1/P2 incident alerts.</w:t>
            </w:r>
          </w:p>
        </w:tc>
      </w:tr>
      <w:tr w:rsidR="00F44532" w14:paraId="33F750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DE5606" w14:textId="68680E24" w:rsidR="00F44532" w:rsidRDefault="00000000">
            <w:pPr>
              <w:spacing w:after="60" w:line="280" w:lineRule="auto"/>
            </w:pPr>
            <w:r>
              <w:rPr>
                <w:b/>
                <w:bCs/>
                <w:color w:val="000000"/>
                <w:sz w:val="20"/>
                <w:szCs w:val="20"/>
              </w:rPr>
              <w:t xml:space="preserve">Principal / CIO </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7146B" w14:textId="77777777" w:rsidR="00F44532" w:rsidRDefault="00000000">
            <w:pPr>
              <w:spacing w:after="60" w:line="280" w:lineRule="auto"/>
            </w:pPr>
            <w:r>
              <w:rPr>
                <w:color w:val="000000"/>
                <w:sz w:val="20"/>
                <w:szCs w:val="20"/>
              </w:rPr>
              <w:t>Product owner. Monitors corpus health dashboards by sector, approves tier reassignments and new-sector activations, reviews output quality across verticals, signs final viability determinations the Engine informed.</w:t>
            </w:r>
          </w:p>
        </w:tc>
      </w:tr>
      <w:tr w:rsidR="00F44532" w14:paraId="12A849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EA1CED" w14:textId="77777777" w:rsidR="00F44532" w:rsidRDefault="00000000">
            <w:pPr>
              <w:spacing w:after="60" w:line="280" w:lineRule="auto"/>
            </w:pPr>
            <w:r>
              <w:rPr>
                <w:b/>
                <w:bCs/>
                <w:color w:val="000000"/>
                <w:sz w:val="20"/>
                <w:szCs w:val="20"/>
              </w:rPr>
              <w:t>CRO / Risk Governance</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6479F9" w14:textId="77777777" w:rsidR="00F44532" w:rsidRDefault="00000000">
            <w:pPr>
              <w:spacing w:after="60" w:line="280" w:lineRule="auto"/>
            </w:pPr>
            <w:r>
              <w:rPr>
                <w:color w:val="000000"/>
                <w:sz w:val="20"/>
                <w:szCs w:val="20"/>
              </w:rPr>
              <w:t>Approves the conformance of each vertical framework to the Universal Risk Framework (TCA-UNIV-001-v1.0) and any methodology changes that affect how the Reference Engine maps retrievals to domain scores.</w:t>
            </w:r>
          </w:p>
        </w:tc>
      </w:tr>
      <w:tr w:rsidR="00F44532" w14:paraId="135BB3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14EFAC" w14:textId="77777777" w:rsidR="00F44532" w:rsidRDefault="00000000">
            <w:pPr>
              <w:spacing w:after="60" w:line="280" w:lineRule="auto"/>
            </w:pPr>
            <w:r>
              <w:rPr>
                <w:b/>
                <w:bCs/>
                <w:color w:val="000000"/>
                <w:sz w:val="20"/>
                <w:szCs w:val="20"/>
              </w:rPr>
              <w:t>Future 2678 Entities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3B91F9" w14:textId="77777777" w:rsidR="00F44532" w:rsidRDefault="00000000">
            <w:pPr>
              <w:spacing w:after="60" w:line="280" w:lineRule="auto"/>
            </w:pPr>
            <w:r>
              <w:rPr>
                <w:color w:val="000000"/>
                <w:sz w:val="20"/>
                <w:szCs w:val="20"/>
              </w:rPr>
              <w:t xml:space="preserve">Consume Reference Engine outputs via API as new TCA / TCN / TCM workflows and additional sectors come online. The Interface Contract (INT-007) is built around the Universal taxonomy so any new vertical that conforms to TCA-UNIV-001 </w:t>
            </w:r>
            <w:proofErr w:type="gramStart"/>
            <w:r>
              <w:rPr>
                <w:color w:val="000000"/>
                <w:sz w:val="20"/>
                <w:szCs w:val="20"/>
              </w:rPr>
              <w:t>inherits</w:t>
            </w:r>
            <w:proofErr w:type="gramEnd"/>
            <w:r>
              <w:rPr>
                <w:color w:val="000000"/>
                <w:sz w:val="20"/>
                <w:szCs w:val="20"/>
              </w:rPr>
              <w:t xml:space="preserve"> </w:t>
            </w:r>
            <w:proofErr w:type="gramStart"/>
            <w:r>
              <w:rPr>
                <w:color w:val="000000"/>
                <w:sz w:val="20"/>
                <w:szCs w:val="20"/>
              </w:rPr>
              <w:t>the integration</w:t>
            </w:r>
            <w:proofErr w:type="gramEnd"/>
            <w:r>
              <w:rPr>
                <w:color w:val="000000"/>
                <w:sz w:val="20"/>
                <w:szCs w:val="20"/>
              </w:rPr>
              <w:t xml:space="preserve"> surface without bespoke plumbing.</w:t>
            </w:r>
          </w:p>
        </w:tc>
      </w:tr>
    </w:tbl>
    <w:p w14:paraId="40128D53" w14:textId="77777777" w:rsidR="00F44532" w:rsidRDefault="00F44532">
      <w:pPr>
        <w:spacing w:after="160"/>
      </w:pPr>
    </w:p>
    <w:p w14:paraId="22C47728" w14:textId="77777777" w:rsidR="00F44532" w:rsidRDefault="00000000">
      <w:pPr>
        <w:spacing w:after="120" w:line="300" w:lineRule="auto"/>
      </w:pPr>
      <w:r>
        <w:rPr>
          <w:color w:val="000000"/>
        </w:rPr>
        <w:t>The Reference Engine is a separate system from the TCA Risk Engine. The two are designed with a documented integration interface (INT-001 through INT-007) but serve different functions: the Risk Engine scores and grades projects against the five-domain Universal Framework with stage weights from the active vertical; the Reference Engine supplies the cited reference grounding that informs those scores. The Phase 3 build delivers a stubbed integration; full Risk Engine ↔ Reference Engine data exchange is a Phase 2 (post-launch) expansion.</w:t>
      </w:r>
    </w:p>
    <w:p w14:paraId="661BF060" w14:textId="77777777" w:rsidR="00F44532" w:rsidRDefault="00000000">
      <w:pPr>
        <w:pStyle w:val="Heading1"/>
      </w:pPr>
      <w:r>
        <w:t>6</w:t>
      </w:r>
      <w:proofErr w:type="gramStart"/>
      <w:r>
        <w:t>.  Role</w:t>
      </w:r>
      <w:proofErr w:type="gramEnd"/>
      <w:r>
        <w:t xml:space="preserve"> in the 2678 Holdings Business Model</w:t>
      </w:r>
    </w:p>
    <w:p w14:paraId="58E19194" w14:textId="77777777" w:rsidR="00F44532" w:rsidRDefault="00000000">
      <w:pPr>
        <w:spacing w:after="120" w:line="300" w:lineRule="auto"/>
      </w:pPr>
      <w:r>
        <w:rPr>
          <w:color w:val="000000"/>
        </w:rPr>
        <w:t>The Reference Engine is built at the 2678 Holdings layer but lives operationally inside TCA. This positioning is intentional: the system addresses a problem common to every sector and every entity in the 2678 portfolio, and the architecture is designed to be consumed across sectors and entities rather than rebuilt in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4532" w14:paraId="350276F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09ABA86" w14:textId="77777777" w:rsidR="00F44532" w:rsidRDefault="00000000">
            <w:pPr>
              <w:spacing w:after="60"/>
            </w:pPr>
            <w:r>
              <w:rPr>
                <w:b/>
                <w:bCs/>
                <w:color w:val="FFFFFF"/>
                <w:sz w:val="20"/>
                <w:szCs w:val="20"/>
              </w:rPr>
              <w:t>Business Lever</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F285C4" w14:textId="77777777" w:rsidR="00F44532" w:rsidRDefault="00000000">
            <w:pPr>
              <w:spacing w:after="60"/>
            </w:pPr>
            <w:r>
              <w:rPr>
                <w:b/>
                <w:bCs/>
                <w:color w:val="FFFFFF"/>
                <w:sz w:val="20"/>
                <w:szCs w:val="20"/>
              </w:rPr>
              <w:t>Contribution to the 2678 Operating Model</w:t>
            </w:r>
          </w:p>
        </w:tc>
      </w:tr>
      <w:tr w:rsidR="00F44532" w14:paraId="5D1FA21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999AA6" w14:textId="77777777" w:rsidR="00F44532" w:rsidRDefault="00000000">
            <w:pPr>
              <w:spacing w:after="60" w:line="280" w:lineRule="auto"/>
            </w:pPr>
            <w:r>
              <w:rPr>
                <w:b/>
                <w:bCs/>
                <w:color w:val="000000"/>
                <w:sz w:val="20"/>
                <w:szCs w:val="20"/>
              </w:rPr>
              <w:t>Cycle-Time Compression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E9465" w14:textId="77777777" w:rsidR="00F44532" w:rsidRDefault="00000000">
            <w:pPr>
              <w:spacing w:after="60" w:line="280" w:lineRule="auto"/>
            </w:pPr>
            <w:r>
              <w:rPr>
                <w:color w:val="000000"/>
                <w:sz w:val="20"/>
                <w:szCs w:val="20"/>
              </w:rPr>
              <w:t>Reduces the analyst hours currently required to locate, read, and synthesize reference material for a project — across every sector 2678 covers — down to a single query-response interaction. Enables the R&amp;I function to scale with the project pipeline without linear headcount growth.</w:t>
            </w:r>
          </w:p>
        </w:tc>
      </w:tr>
      <w:tr w:rsidR="00F44532" w14:paraId="4B470BE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9AE796" w14:textId="77777777" w:rsidR="00F44532" w:rsidRDefault="00000000">
            <w:pPr>
              <w:spacing w:after="60" w:line="280" w:lineRule="auto"/>
            </w:pPr>
            <w:r>
              <w:rPr>
                <w:b/>
                <w:bCs/>
                <w:color w:val="000000"/>
                <w:sz w:val="20"/>
                <w:szCs w:val="20"/>
              </w:rPr>
              <w:lastRenderedPageBreak/>
              <w:t>Defensibility &amp; Auditability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B3300C" w14:textId="77777777" w:rsidR="00F44532" w:rsidRDefault="00000000">
            <w:pPr>
              <w:spacing w:after="60" w:line="280" w:lineRule="auto"/>
            </w:pPr>
            <w:r>
              <w:rPr>
                <w:color w:val="000000"/>
                <w:sz w:val="20"/>
                <w:szCs w:val="20"/>
              </w:rPr>
              <w:t xml:space="preserve">Every factual claim in a synthesis output is traceable to a specific chunk, document, page range, and reliability tier. The immutable </w:t>
            </w:r>
            <w:proofErr w:type="spellStart"/>
            <w:r>
              <w:rPr>
                <w:color w:val="000000"/>
                <w:sz w:val="20"/>
                <w:szCs w:val="20"/>
              </w:rPr>
              <w:t>interaction_log</w:t>
            </w:r>
            <w:proofErr w:type="spellEnd"/>
            <w:r>
              <w:rPr>
                <w:color w:val="000000"/>
                <w:sz w:val="20"/>
                <w:szCs w:val="20"/>
              </w:rPr>
              <w:t xml:space="preserve"> retains seven years of provenance metadata, satisfying TCA's RIA recordkeeping obligations under 17 C.F.R. § 275.204-2 and the retention requirements of TCA-UNIV-001-v1.0.</w:t>
            </w:r>
          </w:p>
        </w:tc>
      </w:tr>
      <w:tr w:rsidR="00F44532" w14:paraId="441A96D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A1A5EA" w14:textId="77777777" w:rsidR="00F44532" w:rsidRDefault="00000000">
            <w:pPr>
              <w:spacing w:after="60" w:line="280" w:lineRule="auto"/>
            </w:pPr>
            <w:r>
              <w:rPr>
                <w:b/>
                <w:bCs/>
                <w:color w:val="000000"/>
                <w:sz w:val="20"/>
                <w:szCs w:val="20"/>
              </w:rPr>
              <w:t>Cross-Sector &amp; Cross-Entity Leverage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6F6E5" w14:textId="77777777" w:rsidR="00F44532" w:rsidRDefault="00000000">
            <w:pPr>
              <w:spacing w:after="60" w:line="280" w:lineRule="auto"/>
            </w:pPr>
            <w:r>
              <w:rPr>
                <w:color w:val="000000"/>
                <w:sz w:val="20"/>
                <w:szCs w:val="20"/>
              </w:rPr>
              <w:t xml:space="preserve">Built once at the 2678 Holdings layer, consumed across TCA, TCN, TCM, and every sector </w:t>
            </w:r>
            <w:proofErr w:type="gramStart"/>
            <w:r>
              <w:rPr>
                <w:color w:val="000000"/>
                <w:sz w:val="20"/>
                <w:szCs w:val="20"/>
              </w:rPr>
              <w:t>vertical</w:t>
            </w:r>
            <w:proofErr w:type="gramEnd"/>
            <w:r>
              <w:rPr>
                <w:color w:val="000000"/>
                <w:sz w:val="20"/>
                <w:szCs w:val="20"/>
              </w:rPr>
              <w:t>. A single Engine, governed by one Universal Framework, serves E&amp;P, Renewables, Real Estate, and Technology evaluations — no duplicated reference work, no inconsistent benchmarks between sectors or entities.</w:t>
            </w:r>
          </w:p>
        </w:tc>
      </w:tr>
      <w:tr w:rsidR="00F44532" w14:paraId="047837F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18B1DB" w14:textId="77777777" w:rsidR="00F44532" w:rsidRDefault="00000000">
            <w:pPr>
              <w:spacing w:after="60" w:line="280" w:lineRule="auto"/>
            </w:pPr>
            <w:r>
              <w:rPr>
                <w:b/>
                <w:bCs/>
                <w:color w:val="000000"/>
                <w:sz w:val="20"/>
                <w:szCs w:val="20"/>
              </w:rPr>
              <w:t>Extensibility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C07E9" w14:textId="77777777" w:rsidR="00F44532" w:rsidRDefault="00000000">
            <w:pPr>
              <w:spacing w:after="60" w:line="280" w:lineRule="auto"/>
            </w:pPr>
            <w:r>
              <w:rPr>
                <w:color w:val="000000"/>
                <w:sz w:val="20"/>
                <w:szCs w:val="20"/>
              </w:rPr>
              <w:t>New sectors are added by extending the corpus and registering a new vertical framework against the Universal taxonomy — not by rebuilding the Engine. Each new vertical inherits the existing retrieval, synthesis, citation, audit, and API surfaces.</w:t>
            </w:r>
          </w:p>
        </w:tc>
      </w:tr>
      <w:tr w:rsidR="00F44532" w14:paraId="3239495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078255" w14:textId="77777777" w:rsidR="00F44532" w:rsidRDefault="00000000">
            <w:pPr>
              <w:spacing w:after="60" w:line="280" w:lineRule="auto"/>
            </w:pPr>
            <w:r>
              <w:rPr>
                <w:b/>
                <w:bCs/>
                <w:color w:val="000000"/>
                <w:sz w:val="20"/>
                <w:szCs w:val="20"/>
              </w:rPr>
              <w:t>Capital Efficiency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F9F91" w14:textId="77777777" w:rsidR="00F44532" w:rsidRDefault="00000000">
            <w:pPr>
              <w:spacing w:after="60" w:line="280" w:lineRule="auto"/>
            </w:pPr>
            <w:r>
              <w:rPr>
                <w:color w:val="000000"/>
                <w:sz w:val="20"/>
                <w:szCs w:val="20"/>
              </w:rPr>
              <w:t xml:space="preserve">Total external cost — ~$34,500 in SE contractor fees plus $800–$2,000/month infrastructure — versus the $437,000 Snowflake Professional Services proposal reviewed in December 2025. Embodies the 2678 delivery model: Claude as </w:t>
            </w:r>
            <w:proofErr w:type="gramStart"/>
            <w:r>
              <w:rPr>
                <w:color w:val="000000"/>
                <w:sz w:val="20"/>
                <w:szCs w:val="20"/>
              </w:rPr>
              <w:t>primary build</w:t>
            </w:r>
            <w:proofErr w:type="gramEnd"/>
            <w:r>
              <w:rPr>
                <w:color w:val="000000"/>
                <w:sz w:val="20"/>
                <w:szCs w:val="20"/>
              </w:rPr>
              <w:t xml:space="preserve"> resource, contractor for infrastructure specialization, internal team for review and validation.</w:t>
            </w:r>
          </w:p>
        </w:tc>
      </w:tr>
    </w:tbl>
    <w:p w14:paraId="5ABFED11" w14:textId="77777777" w:rsidR="00F44532" w:rsidRDefault="00F44532">
      <w:pPr>
        <w:spacing w:after="160"/>
      </w:pPr>
    </w:p>
    <w:p w14:paraId="0FF68A2F" w14:textId="77777777" w:rsidR="00F44532" w:rsidRDefault="00000000">
      <w:pPr>
        <w:spacing w:after="120" w:line="300" w:lineRule="auto"/>
      </w:pPr>
      <w:r>
        <w:rPr>
          <w:color w:val="000000"/>
        </w:rPr>
        <w:t>Read against the December 2025 Snowflake review, the Reference Engine is the working demonstration of the 2678 thesis: that the right small system — built by Claude with a contractor for the infrastructure-specific work, governed by a single Universal Framework, and extended sector by sector — produces a more auditable, more maintainable, and substantially less expensive outcome than the conventional vendor-led, single-sector, professional-services route. The R&amp;I Reference Engine is the first cross-sector, cross-entity proof of that thesis at production scale.</w:t>
      </w:r>
    </w:p>
    <w:p w14:paraId="001FDADC" w14:textId="77777777" w:rsidR="00F44532" w:rsidRDefault="00000000">
      <w:pPr>
        <w:pStyle w:val="Heading1"/>
      </w:pPr>
      <w:r>
        <w:t>7</w:t>
      </w:r>
      <w:proofErr w:type="gramStart"/>
      <w:r>
        <w:t>.  Current</w:t>
      </w:r>
      <w:proofErr w:type="gramEnd"/>
      <w:r>
        <w:t xml:space="preserve"> Status and Next Steps</w:t>
      </w:r>
    </w:p>
    <w:p w14:paraId="611BDCB9" w14:textId="77777777" w:rsidR="00F44532" w:rsidRDefault="00000000">
      <w:pPr>
        <w:spacing w:after="120" w:line="300" w:lineRule="auto"/>
      </w:pPr>
      <w:r>
        <w:rPr>
          <w:color w:val="000000"/>
        </w:rPr>
        <w:t xml:space="preserve">As of this memo, the Technical Requirements Document (TCA-TRD-2026-RI-001), Work Plan (TCA-WORKPLAN-2026-RI-001), and Implementation Dependencies Memorandum (TCA-MEMO-2026-RI-IMPL-001) are in DRAFT status, pending MRB approval. The Universal Risk Framework (TCA-UNIV-001-v1.0) is active and governs the conformance of each vertical framework. Phase 1 activities are scoped to begin </w:t>
      </w:r>
      <w:proofErr w:type="gramStart"/>
      <w:r>
        <w:rPr>
          <w:color w:val="000000"/>
        </w:rPr>
        <w:t>upon</w:t>
      </w:r>
      <w:proofErr w:type="gramEnd"/>
      <w:r>
        <w:rPr>
          <w:color w:val="000000"/>
        </w:rPr>
        <w:t xml:space="preserve"> approval.</w:t>
      </w:r>
    </w:p>
    <w:p w14:paraId="04EF84E5" w14:textId="77777777" w:rsidR="00F44532" w:rsidRDefault="00000000">
      <w:pPr>
        <w:spacing w:after="120" w:line="300" w:lineRule="auto"/>
      </w:pPr>
      <w:r>
        <w:rPr>
          <w:color w:val="000000"/>
        </w:rPr>
        <w:t xml:space="preserve">Critical-path acquisitions (Anthropic production API key, embedding-model selection and key, cloud hosting account, DNS and TLS confirmation) must be resolved before the Phase 1 milestone review. The E&amp;P sub-corpus is the initial production payload, with Renewables, Real Estate, and Technology sub-corpora sequenced thereafter under the same Engine and the </w:t>
      </w:r>
      <w:r>
        <w:rPr>
          <w:color w:val="000000"/>
        </w:rPr>
        <w:lastRenderedPageBreak/>
        <w:t>same Universal Framework. Acceptance criteria for production launch are documented in Section 11 of the TRD; conformance criteria for each vertical sub-corpus and framework are documented in TCA-UNIV-001-v1.0.</w:t>
      </w:r>
    </w:p>
    <w:p w14:paraId="73CA0554" w14:textId="77777777" w:rsidR="00F44532" w:rsidRDefault="00000000">
      <w:pPr>
        <w:spacing w:after="120" w:line="300" w:lineRule="auto"/>
      </w:pPr>
      <w:r>
        <w:rPr>
          <w:color w:val="000000"/>
        </w:rPr>
        <w:t>Questions, proposed amendments, or corrections to this summary should be directed to MRB.</w:t>
      </w:r>
    </w:p>
    <w:p w14:paraId="283B53F0" w14:textId="77777777" w:rsidR="00F44532" w:rsidRDefault="00000000">
      <w:pPr>
        <w:spacing w:before="360" w:after="60"/>
      </w:pPr>
      <w:r>
        <w:rPr>
          <w:b/>
          <w:bCs/>
        </w:rPr>
        <w:t>MRB</w:t>
      </w:r>
    </w:p>
    <w:p w14:paraId="070FF1BD" w14:textId="77777777" w:rsidR="00F44532" w:rsidRDefault="00000000">
      <w:r>
        <w:rPr>
          <w:i/>
          <w:iCs/>
          <w:color w:val="595959"/>
          <w:sz w:val="20"/>
          <w:szCs w:val="20"/>
        </w:rPr>
        <w:t>Principal, 2678 Holdings LLC</w:t>
      </w:r>
    </w:p>
    <w:p w14:paraId="09B98115" w14:textId="77777777" w:rsidR="00F44532" w:rsidRDefault="00000000">
      <w:pPr>
        <w:spacing w:after="60"/>
      </w:pPr>
      <w:r>
        <w:rPr>
          <w:i/>
          <w:iCs/>
          <w:color w:val="595959"/>
          <w:sz w:val="20"/>
          <w:szCs w:val="20"/>
        </w:rPr>
        <w:t xml:space="preserve">TokenCap Advisors </w:t>
      </w:r>
      <w:proofErr w:type="gramStart"/>
      <w:r>
        <w:rPr>
          <w:i/>
          <w:iCs/>
          <w:color w:val="595959"/>
          <w:sz w:val="20"/>
          <w:szCs w:val="20"/>
        </w:rPr>
        <w:t>LLC  |</w:t>
      </w:r>
      <w:proofErr w:type="gramEnd"/>
      <w:r>
        <w:rPr>
          <w:i/>
          <w:iCs/>
          <w:color w:val="595959"/>
          <w:sz w:val="20"/>
          <w:szCs w:val="20"/>
        </w:rPr>
        <w:t xml:space="preserve">  A 2678 Holdings LLC Company</w:t>
      </w:r>
    </w:p>
    <w:p w14:paraId="2C99B68E" w14:textId="77777777" w:rsidR="00F44532" w:rsidRDefault="00000000">
      <w:r>
        <w:rPr>
          <w:i/>
          <w:iCs/>
          <w:color w:val="808080"/>
          <w:sz w:val="18"/>
          <w:szCs w:val="18"/>
        </w:rPr>
        <w:t>TCA-MEMO-2026-RI-SUMMARY-001 (Rev. 1</w:t>
      </w:r>
      <w:proofErr w:type="gramStart"/>
      <w:r>
        <w:rPr>
          <w:i/>
          <w:iCs/>
          <w:color w:val="808080"/>
          <w:sz w:val="18"/>
          <w:szCs w:val="18"/>
        </w:rPr>
        <w:t>)  |</w:t>
      </w:r>
      <w:proofErr w:type="gramEnd"/>
      <w:r>
        <w:rPr>
          <w:i/>
          <w:iCs/>
          <w:color w:val="808080"/>
          <w:sz w:val="18"/>
          <w:szCs w:val="18"/>
        </w:rPr>
        <w:t xml:space="preserve">  May </w:t>
      </w:r>
      <w:proofErr w:type="gramStart"/>
      <w:r>
        <w:rPr>
          <w:i/>
          <w:iCs/>
          <w:color w:val="808080"/>
          <w:sz w:val="18"/>
          <w:szCs w:val="18"/>
        </w:rPr>
        <w:t>2026  |</w:t>
      </w:r>
      <w:proofErr w:type="gramEnd"/>
      <w:r>
        <w:rPr>
          <w:i/>
          <w:iCs/>
          <w:color w:val="808080"/>
          <w:sz w:val="18"/>
          <w:szCs w:val="18"/>
        </w:rPr>
        <w:t xml:space="preserve">  CONFIDENTIAL</w:t>
      </w:r>
    </w:p>
    <w:sectPr w:rsidR="00F445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A1C6" w14:textId="77777777" w:rsidR="008E54BB" w:rsidRDefault="008E54BB">
      <w:r>
        <w:separator/>
      </w:r>
    </w:p>
  </w:endnote>
  <w:endnote w:type="continuationSeparator" w:id="0">
    <w:p w14:paraId="7B20B51E" w14:textId="77777777" w:rsidR="008E54BB" w:rsidRDefault="008E5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10BA" w14:textId="77777777" w:rsidR="00F44532" w:rsidRDefault="00000000">
    <w:pPr>
      <w:jc w:val="center"/>
    </w:pPr>
    <w:r>
      <w:rPr>
        <w:color w:val="808080"/>
        <w:sz w:val="16"/>
        <w:szCs w:val="16"/>
      </w:rPr>
      <w:t xml:space="preserve">TokenCap Advisors </w:t>
    </w:r>
    <w:proofErr w:type="gramStart"/>
    <w:r>
      <w:rPr>
        <w:color w:val="808080"/>
        <w:sz w:val="16"/>
        <w:szCs w:val="16"/>
      </w:rPr>
      <w:t>LLC  |</w:t>
    </w:r>
    <w:proofErr w:type="gramEnd"/>
    <w:r>
      <w:rPr>
        <w:color w:val="808080"/>
        <w:sz w:val="16"/>
        <w:szCs w:val="16"/>
      </w:rPr>
      <w:t xml:space="preserve">  A 2678 Holdings LLC </w:t>
    </w:r>
    <w:proofErr w:type="gramStart"/>
    <w:r>
      <w:rPr>
        <w:color w:val="808080"/>
        <w:sz w:val="16"/>
        <w:szCs w:val="16"/>
      </w:rPr>
      <w:t>Company  |</w:t>
    </w:r>
    <w:proofErr w:type="gramEnd"/>
    <w:r>
      <w:rPr>
        <w:color w:val="808080"/>
        <w:sz w:val="16"/>
        <w:szCs w:val="16"/>
      </w:rPr>
      <w:t xml:space="preserve">  </w:t>
    </w:r>
    <w:proofErr w:type="gramStart"/>
    <w:r>
      <w:rPr>
        <w:color w:val="808080"/>
        <w:sz w:val="16"/>
        <w:szCs w:val="16"/>
      </w:rPr>
      <w:t>CONFIDENTIAL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B796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8B796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060B" w14:textId="77777777" w:rsidR="008E54BB" w:rsidRDefault="008E54BB">
      <w:r>
        <w:separator/>
      </w:r>
    </w:p>
  </w:footnote>
  <w:footnote w:type="continuationSeparator" w:id="0">
    <w:p w14:paraId="43FB05FC" w14:textId="77777777" w:rsidR="008E54BB" w:rsidRDefault="008E5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86BB" w14:textId="77777777" w:rsidR="00F44532" w:rsidRDefault="00000000">
    <w:pPr>
      <w:jc w:val="right"/>
    </w:pPr>
    <w:r>
      <w:rPr>
        <w:color w:val="808080"/>
        <w:sz w:val="16"/>
        <w:szCs w:val="16"/>
      </w:rPr>
      <w:t>TCA-MEMO-2026-RI-SUMMARY-001 (Rev. 1</w:t>
    </w:r>
    <w:proofErr w:type="gramStart"/>
    <w:r>
      <w:rPr>
        <w:color w:val="808080"/>
        <w:sz w:val="16"/>
        <w:szCs w:val="16"/>
      </w:rPr>
      <w:t>)  |</w:t>
    </w:r>
    <w:proofErr w:type="gramEnd"/>
    <w:r>
      <w:rPr>
        <w:color w:val="808080"/>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4DA3"/>
    <w:multiLevelType w:val="hybridMultilevel"/>
    <w:tmpl w:val="31FA97D2"/>
    <w:lvl w:ilvl="0" w:tplc="DD70C19C">
      <w:start w:val="1"/>
      <w:numFmt w:val="bullet"/>
      <w:lvlText w:val="●"/>
      <w:lvlJc w:val="left"/>
      <w:pPr>
        <w:ind w:left="720" w:hanging="360"/>
      </w:pPr>
    </w:lvl>
    <w:lvl w:ilvl="1" w:tplc="261097B8">
      <w:start w:val="1"/>
      <w:numFmt w:val="bullet"/>
      <w:lvlText w:val="○"/>
      <w:lvlJc w:val="left"/>
      <w:pPr>
        <w:ind w:left="1440" w:hanging="360"/>
      </w:pPr>
    </w:lvl>
    <w:lvl w:ilvl="2" w:tplc="16C85E28">
      <w:start w:val="1"/>
      <w:numFmt w:val="bullet"/>
      <w:lvlText w:val="■"/>
      <w:lvlJc w:val="left"/>
      <w:pPr>
        <w:ind w:left="2160" w:hanging="360"/>
      </w:pPr>
    </w:lvl>
    <w:lvl w:ilvl="3" w:tplc="C1EAE638">
      <w:start w:val="1"/>
      <w:numFmt w:val="bullet"/>
      <w:lvlText w:val="●"/>
      <w:lvlJc w:val="left"/>
      <w:pPr>
        <w:ind w:left="2880" w:hanging="360"/>
      </w:pPr>
    </w:lvl>
    <w:lvl w:ilvl="4" w:tplc="774C0D54">
      <w:start w:val="1"/>
      <w:numFmt w:val="bullet"/>
      <w:lvlText w:val="○"/>
      <w:lvlJc w:val="left"/>
      <w:pPr>
        <w:ind w:left="3600" w:hanging="360"/>
      </w:pPr>
    </w:lvl>
    <w:lvl w:ilvl="5" w:tplc="B51469FC">
      <w:start w:val="1"/>
      <w:numFmt w:val="bullet"/>
      <w:lvlText w:val="■"/>
      <w:lvlJc w:val="left"/>
      <w:pPr>
        <w:ind w:left="4320" w:hanging="360"/>
      </w:pPr>
    </w:lvl>
    <w:lvl w:ilvl="6" w:tplc="425AEA8C">
      <w:start w:val="1"/>
      <w:numFmt w:val="bullet"/>
      <w:lvlText w:val="●"/>
      <w:lvlJc w:val="left"/>
      <w:pPr>
        <w:ind w:left="5040" w:hanging="360"/>
      </w:pPr>
    </w:lvl>
    <w:lvl w:ilvl="7" w:tplc="8384F788">
      <w:start w:val="1"/>
      <w:numFmt w:val="bullet"/>
      <w:lvlText w:val="●"/>
      <w:lvlJc w:val="left"/>
      <w:pPr>
        <w:ind w:left="5760" w:hanging="360"/>
      </w:pPr>
    </w:lvl>
    <w:lvl w:ilvl="8" w:tplc="A1E4369E">
      <w:start w:val="1"/>
      <w:numFmt w:val="bullet"/>
      <w:lvlText w:val="●"/>
      <w:lvlJc w:val="left"/>
      <w:pPr>
        <w:ind w:left="6480" w:hanging="360"/>
      </w:pPr>
    </w:lvl>
  </w:abstractNum>
  <w:abstractNum w:abstractNumId="1" w15:restartNumberingAfterBreak="0">
    <w:nsid w:val="68513C82"/>
    <w:multiLevelType w:val="hybridMultilevel"/>
    <w:tmpl w:val="153021FE"/>
    <w:lvl w:ilvl="0" w:tplc="503A5970">
      <w:start w:val="1"/>
      <w:numFmt w:val="bullet"/>
      <w:lvlText w:val="•"/>
      <w:lvlJc w:val="left"/>
      <w:pPr>
        <w:ind w:left="540" w:hanging="270"/>
      </w:pPr>
    </w:lvl>
    <w:lvl w:ilvl="1" w:tplc="A1A6F688">
      <w:numFmt w:val="decimal"/>
      <w:lvlText w:val=""/>
      <w:lvlJc w:val="left"/>
    </w:lvl>
    <w:lvl w:ilvl="2" w:tplc="7AE2ADD8">
      <w:numFmt w:val="decimal"/>
      <w:lvlText w:val=""/>
      <w:lvlJc w:val="left"/>
    </w:lvl>
    <w:lvl w:ilvl="3" w:tplc="C868F5B4">
      <w:numFmt w:val="decimal"/>
      <w:lvlText w:val=""/>
      <w:lvlJc w:val="left"/>
    </w:lvl>
    <w:lvl w:ilvl="4" w:tplc="B0984302">
      <w:numFmt w:val="decimal"/>
      <w:lvlText w:val=""/>
      <w:lvlJc w:val="left"/>
    </w:lvl>
    <w:lvl w:ilvl="5" w:tplc="F9AA7F62">
      <w:numFmt w:val="decimal"/>
      <w:lvlText w:val=""/>
      <w:lvlJc w:val="left"/>
    </w:lvl>
    <w:lvl w:ilvl="6" w:tplc="43D0FFAC">
      <w:numFmt w:val="decimal"/>
      <w:lvlText w:val=""/>
      <w:lvlJc w:val="left"/>
    </w:lvl>
    <w:lvl w:ilvl="7" w:tplc="09D46880">
      <w:numFmt w:val="decimal"/>
      <w:lvlText w:val=""/>
      <w:lvlJc w:val="left"/>
    </w:lvl>
    <w:lvl w:ilvl="8" w:tplc="71369FBA">
      <w:numFmt w:val="decimal"/>
      <w:lvlText w:val=""/>
      <w:lvlJc w:val="left"/>
    </w:lvl>
  </w:abstractNum>
  <w:num w:numId="1" w16cid:durableId="1348950099">
    <w:abstractNumId w:val="0"/>
    <w:lvlOverride w:ilvl="0">
      <w:startOverride w:val="1"/>
    </w:lvlOverride>
  </w:num>
  <w:num w:numId="2" w16cid:durableId="2007705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532"/>
    <w:rsid w:val="0024362F"/>
    <w:rsid w:val="008B7968"/>
    <w:rsid w:val="008E54BB"/>
    <w:rsid w:val="00D06159"/>
    <w:rsid w:val="00F4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3D235"/>
  <w15:docId w15:val="{A0F87FEA-C901-45E3-B396-EF09486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2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2488</Words>
  <Characters>15579</Characters>
  <Application>Microsoft Office Word</Application>
  <DocSecurity>0</DocSecurity>
  <Lines>370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2026-05-27T14:12:00Z</dcterms:created>
  <dcterms:modified xsi:type="dcterms:W3CDTF">2026-05-27T14:12:00Z</dcterms:modified>
</cp:coreProperties>
</file>