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33881205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4599804" w14:textId="77777777" w:rsidR="003F265B" w:rsidRDefault="003F265B"/>
        <w:p w14:paraId="71EB7877" w14:textId="77777777" w:rsidR="003F265B" w:rsidRDefault="003F265B"/>
        <w:p w14:paraId="568E195B" w14:textId="77777777" w:rsidR="003F265B" w:rsidRDefault="003F265B"/>
        <w:p w14:paraId="664B8116" w14:textId="77777777" w:rsidR="003F265B" w:rsidRDefault="003F265B"/>
        <w:p w14:paraId="29DE7410" w14:textId="77777777" w:rsidR="003F265B" w:rsidRDefault="003F265B"/>
        <w:p w14:paraId="5690FACB" w14:textId="77777777" w:rsidR="003F265B" w:rsidRDefault="003F265B"/>
        <w:p w14:paraId="6CF861BB" w14:textId="77777777" w:rsidR="003F265B" w:rsidRDefault="003F265B"/>
        <w:p w14:paraId="5A7C0A1F" w14:textId="77777777" w:rsidR="003F265B" w:rsidRDefault="003F265B"/>
        <w:p w14:paraId="1DCF56D6" w14:textId="77777777" w:rsidR="003F265B" w:rsidRDefault="003F265B"/>
        <w:p w14:paraId="45469CDA" w14:textId="77777777" w:rsidR="003F265B" w:rsidRDefault="003F265B"/>
        <w:p w14:paraId="236B350B" w14:textId="77777777" w:rsidR="003F265B" w:rsidRDefault="003F265B"/>
        <w:p w14:paraId="11C1BB28" w14:textId="77777777" w:rsidR="003F265B" w:rsidRDefault="003F265B"/>
        <w:p w14:paraId="36152863" w14:textId="77777777" w:rsidR="003F265B" w:rsidRDefault="003F265B"/>
        <w:p w14:paraId="7E7AFE71" w14:textId="77777777" w:rsidR="003F265B" w:rsidRDefault="003F265B"/>
        <w:p w14:paraId="0553E742" w14:textId="77777777" w:rsidR="003F265B" w:rsidRDefault="003F265B"/>
        <w:p w14:paraId="4493200C" w14:textId="77777777" w:rsidR="003F265B" w:rsidRDefault="003F265B"/>
        <w:p w14:paraId="72F81B25" w14:textId="77777777" w:rsidR="003F265B" w:rsidRDefault="003F265B"/>
        <w:p w14:paraId="443260DD" w14:textId="77777777" w:rsidR="003F265B" w:rsidRDefault="003F265B"/>
        <w:p w14:paraId="0B0A004E" w14:textId="33364644" w:rsidR="003F265B" w:rsidRDefault="003F265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D1E450D" wp14:editId="2D4BB567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1-01T00:00:00Z"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B4EF7C5" w14:textId="5FB887AD" w:rsidR="003F265B" w:rsidRDefault="003F265B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4BBEA1" w14:textId="2423A4BC" w:rsidR="003F265B" w:rsidRDefault="003F265B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ny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70DCF9A8" w14:textId="4AD679FF" w:rsidR="003F265B" w:rsidRDefault="003F265B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TokenCap Advisors LLC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1-01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86293B2" w14:textId="599DB709" w:rsidR="003F265B" w:rsidRDefault="003F265B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1/1/2026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1D1E450D" id="Group 252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a8d08d [1945]" stroked="f" strokecolor="white" strokeweight="1pt">
                      <v:fill r:id="rId9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1-01T00:00:00Z"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B4EF7C5" w14:textId="5FB887AD" w:rsidR="003F265B" w:rsidRDefault="003F265B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C4BBEA1" w14:textId="2423A4BC" w:rsidR="003F265B" w:rsidRDefault="003F265B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ny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70DCF9A8" w14:textId="4AD679FF" w:rsidR="003F265B" w:rsidRDefault="003F265B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TokenCap Advisors LLC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e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1-01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86293B2" w14:textId="599DB709" w:rsidR="003F265B" w:rsidRDefault="003F265B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1/1/2026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4C7AF44D" wp14:editId="23FB1D8B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276DB11" w14:textId="1B867C44" w:rsidR="003F265B" w:rsidRDefault="003F265B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3F265B"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A Structured Risk Intelligence Framework</w:t>
                                    </w:r>
                                    <w:r w:rsidR="00717E82"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: E&amp;P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4C7AF44D" id="Rectangle 16" o:spid="_x0000_s1031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VfGA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276DB11" w14:textId="1B867C44" w:rsidR="003F265B" w:rsidRDefault="003F265B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3F265B"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A Structured Risk Intelligence Framework</w:t>
                              </w:r>
                              <w:r w:rsidR="00717E82"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: E&amp;P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4D338E6" w14:textId="66FE2BC7" w:rsidR="003F265B" w:rsidRDefault="003F265B">
          <w:pPr>
            <w:rPr>
              <w:b/>
              <w:bCs/>
            </w:rPr>
          </w:pPr>
          <w:r>
            <w:rPr>
              <w:b/>
              <w:bCs/>
              <w:noProof/>
            </w:rPr>
            <w:drawing>
              <wp:inline distT="0" distB="0" distL="0" distR="0" wp14:anchorId="49BB7226" wp14:editId="00CCA60D">
                <wp:extent cx="3843466" cy="1860382"/>
                <wp:effectExtent l="0" t="0" r="5080" b="6985"/>
                <wp:docPr id="186837872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60742" cy="186874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15178422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A304D9" w14:textId="175A78A6" w:rsidR="000E32C3" w:rsidRDefault="000E32C3">
          <w:pPr>
            <w:pStyle w:val="TOCHeading"/>
          </w:pPr>
          <w:r>
            <w:t>Contents</w:t>
          </w:r>
        </w:p>
        <w:p w14:paraId="63B3584E" w14:textId="531DF3EC" w:rsidR="003F265B" w:rsidRDefault="000E32C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31531" w:history="1">
            <w:r w:rsidR="003F265B" w:rsidRPr="00800189">
              <w:rPr>
                <w:rStyle w:val="Hyperlink"/>
                <w:b/>
                <w:bCs/>
                <w:noProof/>
              </w:rPr>
              <w:t>A Structured Risk Intelligence Framework for U.S. Upstream Oil &amp; Gas Investments</w:t>
            </w:r>
            <w:r w:rsidR="003F265B">
              <w:rPr>
                <w:noProof/>
                <w:webHidden/>
              </w:rPr>
              <w:tab/>
            </w:r>
            <w:r w:rsidR="003F265B">
              <w:rPr>
                <w:noProof/>
                <w:webHidden/>
              </w:rPr>
              <w:fldChar w:fldCharType="begin"/>
            </w:r>
            <w:r w:rsidR="003F265B">
              <w:rPr>
                <w:noProof/>
                <w:webHidden/>
              </w:rPr>
              <w:instrText xml:space="preserve"> PAGEREF _Toc222931531 \h </w:instrText>
            </w:r>
            <w:r w:rsidR="003F265B">
              <w:rPr>
                <w:noProof/>
                <w:webHidden/>
              </w:rPr>
            </w:r>
            <w:r w:rsidR="003F265B">
              <w:rPr>
                <w:noProof/>
                <w:webHidden/>
              </w:rPr>
              <w:fldChar w:fldCharType="separate"/>
            </w:r>
            <w:r w:rsidR="003F265B">
              <w:rPr>
                <w:noProof/>
                <w:webHidden/>
              </w:rPr>
              <w:t>2</w:t>
            </w:r>
            <w:r w:rsidR="003F265B">
              <w:rPr>
                <w:noProof/>
                <w:webHidden/>
              </w:rPr>
              <w:fldChar w:fldCharType="end"/>
            </w:r>
          </w:hyperlink>
        </w:p>
        <w:p w14:paraId="724F883E" w14:textId="4F096717" w:rsidR="003F265B" w:rsidRDefault="003F26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931532" w:history="1">
            <w:r w:rsidRPr="00800189">
              <w:rPr>
                <w:rStyle w:val="Hyperlink"/>
                <w:b/>
                <w:bCs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A9F8B" w14:textId="376F1FE7" w:rsidR="003F265B" w:rsidRDefault="003F2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931533" w:history="1">
            <w:r w:rsidRPr="00800189">
              <w:rPr>
                <w:rStyle w:val="Hyperlink"/>
                <w:b/>
                <w:bCs/>
                <w:noProof/>
              </w:rPr>
              <w:t>I. The Upstream Risk Continuum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77C6D" w14:textId="3451E2E5" w:rsidR="003F265B" w:rsidRDefault="003F2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931534" w:history="1">
            <w:r w:rsidRPr="00800189">
              <w:rPr>
                <w:rStyle w:val="Hyperlink"/>
                <w:b/>
                <w:bCs/>
                <w:noProof/>
              </w:rPr>
              <w:t>II. The TCA Risk Intelligence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D2EDA" w14:textId="229D0B3C" w:rsidR="003F265B" w:rsidRDefault="003F2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931535" w:history="1">
            <w:r w:rsidRPr="00800189">
              <w:rPr>
                <w:rStyle w:val="Hyperlink"/>
                <w:b/>
                <w:bCs/>
                <w:noProof/>
              </w:rPr>
              <w:t>III. Weighted, Stage-Sensitive Risk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B1F17" w14:textId="7FEFE4F9" w:rsidR="003F265B" w:rsidRDefault="003F2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931536" w:history="1">
            <w:r w:rsidRPr="00800189">
              <w:rPr>
                <w:rStyle w:val="Hyperlink"/>
                <w:b/>
                <w:bCs/>
                <w:noProof/>
              </w:rPr>
              <w:t>IV. Composite Risk Score &amp; Grading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46A2E" w14:textId="20A4A601" w:rsidR="003F265B" w:rsidRDefault="003F2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931537" w:history="1">
            <w:r w:rsidRPr="00800189">
              <w:rPr>
                <w:rStyle w:val="Hyperlink"/>
                <w:b/>
                <w:bCs/>
                <w:noProof/>
              </w:rPr>
              <w:t>V. Risk-Adjusted Return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A42B9" w14:textId="6271C2CD" w:rsidR="003F265B" w:rsidRDefault="003F2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931538" w:history="1">
            <w:r w:rsidRPr="00800189">
              <w:rPr>
                <w:rStyle w:val="Hyperlink"/>
                <w:b/>
                <w:bCs/>
                <w:noProof/>
              </w:rPr>
              <w:t>VI. Institutional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E8F25" w14:textId="777786FB" w:rsidR="003F265B" w:rsidRDefault="003F2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931539" w:history="1">
            <w:r w:rsidRPr="00800189">
              <w:rPr>
                <w:rStyle w:val="Hyperlink"/>
                <w:b/>
                <w:bCs/>
                <w:noProof/>
              </w:rPr>
              <w:t>VII. Differentiation in the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6536A" w14:textId="03D80F32" w:rsidR="003F265B" w:rsidRDefault="003F2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931540" w:history="1">
            <w:r w:rsidRPr="00800189">
              <w:rPr>
                <w:rStyle w:val="Hyperlink"/>
                <w:b/>
                <w:bCs/>
                <w:noProof/>
              </w:rPr>
              <w:t>VIII. Future Integration: Digital &amp; Tokenized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ABC3D" w14:textId="2B638323" w:rsidR="003F265B" w:rsidRDefault="003F2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931541" w:history="1">
            <w:r w:rsidRPr="00800189">
              <w:rPr>
                <w:rStyle w:val="Hyperlink"/>
                <w:b/>
                <w:bCs/>
                <w:noProof/>
              </w:rPr>
              <w:t>IX. Governance &amp; Independence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42282" w14:textId="63ED2579" w:rsidR="003F265B" w:rsidRDefault="003F265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2931542" w:history="1">
            <w:r w:rsidRPr="00800189">
              <w:rPr>
                <w:rStyle w:val="Hyperlink"/>
                <w:b/>
                <w:bCs/>
                <w:noProof/>
              </w:rPr>
              <w:t>X.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DDDAF" w14:textId="031CD7D5" w:rsidR="000E32C3" w:rsidRDefault="000E32C3">
          <w:r>
            <w:rPr>
              <w:b/>
              <w:bCs/>
              <w:noProof/>
            </w:rPr>
            <w:fldChar w:fldCharType="end"/>
          </w:r>
        </w:p>
      </w:sdtContent>
    </w:sdt>
    <w:p w14:paraId="6E6D1E3E" w14:textId="73119795" w:rsidR="000E32C3" w:rsidRDefault="000E32C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5E181163" w14:textId="2FABD73D" w:rsidR="000E32C3" w:rsidRPr="000E32C3" w:rsidRDefault="000E32C3" w:rsidP="000E32C3">
      <w:pPr>
        <w:pStyle w:val="Heading1"/>
        <w:jc w:val="center"/>
        <w:rPr>
          <w:b/>
          <w:bCs/>
        </w:rPr>
      </w:pPr>
      <w:bookmarkStart w:id="0" w:name="_Toc222931531"/>
      <w:r w:rsidRPr="000E32C3">
        <w:rPr>
          <w:b/>
          <w:bCs/>
        </w:rPr>
        <w:lastRenderedPageBreak/>
        <w:t>A Structured Risk Intelligence Framework for U.S. Upstream Oil &amp; Gas Investments</w:t>
      </w:r>
      <w:bookmarkEnd w:id="0"/>
    </w:p>
    <w:p w14:paraId="5C5FDB28" w14:textId="06377F1D" w:rsidR="000E32C3" w:rsidRPr="000E32C3" w:rsidRDefault="000E32C3" w:rsidP="000E32C3"/>
    <w:p w14:paraId="6467765B" w14:textId="77777777" w:rsidR="000E32C3" w:rsidRPr="000E32C3" w:rsidRDefault="000E32C3" w:rsidP="000E32C3">
      <w:pPr>
        <w:pStyle w:val="Heading2"/>
        <w:rPr>
          <w:b/>
          <w:bCs/>
        </w:rPr>
      </w:pPr>
      <w:bookmarkStart w:id="1" w:name="_Toc222931532"/>
      <w:r w:rsidRPr="000E32C3">
        <w:rPr>
          <w:b/>
          <w:bCs/>
        </w:rPr>
        <w:t>Executive Summary</w:t>
      </w:r>
      <w:bookmarkEnd w:id="1"/>
    </w:p>
    <w:p w14:paraId="148F5FE1" w14:textId="77777777" w:rsidR="000E32C3" w:rsidRDefault="000E32C3" w:rsidP="000E32C3"/>
    <w:p w14:paraId="70345F51" w14:textId="6E462892" w:rsidR="000E32C3" w:rsidRPr="000E32C3" w:rsidRDefault="000E32C3" w:rsidP="000E32C3">
      <w:r w:rsidRPr="000E32C3">
        <w:t>TokenCap Advisors (TCA) is an independent research and risk intelligence firm specializing in the systematic evaluation, scoring, and ranking of upstream oil and natural gas projects in the United States.</w:t>
      </w:r>
    </w:p>
    <w:p w14:paraId="24399399" w14:textId="77777777" w:rsidR="000E32C3" w:rsidRPr="000E32C3" w:rsidRDefault="000E32C3" w:rsidP="000E32C3">
      <w:r w:rsidRPr="000E32C3">
        <w:t>The upstream energy sector presents a uniquely asymmetric risk-return profile. Projects range from high-risk virgin exploration prospects to stable producing wells generating predictable cash flow. Historically, investment decisions in this sector have relied heavily on operator reputation, fragmented geological interpretation, and non-standardized engineering assessments.</w:t>
      </w:r>
    </w:p>
    <w:p w14:paraId="3E06FFF6" w14:textId="77777777" w:rsidR="000E32C3" w:rsidRDefault="000E32C3" w:rsidP="000E32C3"/>
    <w:p w14:paraId="4FE02115" w14:textId="5B5DF182" w:rsidR="000E32C3" w:rsidRDefault="000E32C3" w:rsidP="000E32C3">
      <w:r w:rsidRPr="000E32C3">
        <w:t xml:space="preserve">TCA introduces a </w:t>
      </w:r>
      <w:r w:rsidRPr="000E32C3">
        <w:rPr>
          <w:b/>
          <w:bCs/>
        </w:rPr>
        <w:t>structured, quantitative, stage-sensitive risk scoring methodology</w:t>
      </w:r>
      <w:r w:rsidRPr="000E32C3">
        <w:t xml:space="preserve"> that enables capital providers to:</w:t>
      </w:r>
    </w:p>
    <w:p w14:paraId="7D90A398" w14:textId="77777777" w:rsidR="000E32C3" w:rsidRPr="000E32C3" w:rsidRDefault="000E32C3" w:rsidP="000E32C3"/>
    <w:p w14:paraId="64620DED" w14:textId="77777777" w:rsidR="000E32C3" w:rsidRPr="000E32C3" w:rsidRDefault="000E32C3" w:rsidP="000E32C3">
      <w:pPr>
        <w:numPr>
          <w:ilvl w:val="0"/>
          <w:numId w:val="1"/>
        </w:numPr>
      </w:pPr>
      <w:r w:rsidRPr="000E32C3">
        <w:t>Compare projects across the full exploration-to-production continuum</w:t>
      </w:r>
    </w:p>
    <w:p w14:paraId="20BD1B23" w14:textId="77777777" w:rsidR="000E32C3" w:rsidRPr="000E32C3" w:rsidRDefault="000E32C3" w:rsidP="000E32C3">
      <w:pPr>
        <w:numPr>
          <w:ilvl w:val="0"/>
          <w:numId w:val="1"/>
        </w:numPr>
      </w:pPr>
      <w:r w:rsidRPr="000E32C3">
        <w:t>Quantify geological, technical, regulatory, commercial, and infrastructure risk</w:t>
      </w:r>
    </w:p>
    <w:p w14:paraId="11C6BF9F" w14:textId="77777777" w:rsidR="000E32C3" w:rsidRPr="000E32C3" w:rsidRDefault="000E32C3" w:rsidP="000E32C3">
      <w:pPr>
        <w:numPr>
          <w:ilvl w:val="0"/>
          <w:numId w:val="1"/>
        </w:numPr>
      </w:pPr>
      <w:r w:rsidRPr="000E32C3">
        <w:t>Align capital deployment with institutional risk tolerance</w:t>
      </w:r>
    </w:p>
    <w:p w14:paraId="10B1E931" w14:textId="77777777" w:rsidR="000E32C3" w:rsidRPr="000E32C3" w:rsidRDefault="000E32C3" w:rsidP="000E32C3">
      <w:pPr>
        <w:numPr>
          <w:ilvl w:val="0"/>
          <w:numId w:val="1"/>
        </w:numPr>
      </w:pPr>
      <w:r w:rsidRPr="000E32C3">
        <w:t>Apply risk-adjusted return thresholds consistently</w:t>
      </w:r>
    </w:p>
    <w:p w14:paraId="144BB9A5" w14:textId="77777777" w:rsidR="000E32C3" w:rsidRDefault="000E32C3" w:rsidP="000E32C3">
      <w:pPr>
        <w:numPr>
          <w:ilvl w:val="0"/>
          <w:numId w:val="1"/>
        </w:numPr>
      </w:pPr>
      <w:r w:rsidRPr="000E32C3">
        <w:t>Standardize upstream asset evaluation across portfolios</w:t>
      </w:r>
    </w:p>
    <w:p w14:paraId="403761E2" w14:textId="77777777" w:rsidR="000E32C3" w:rsidRPr="000E32C3" w:rsidRDefault="000E32C3" w:rsidP="000E32C3"/>
    <w:p w14:paraId="381DB54D" w14:textId="77777777" w:rsidR="000E32C3" w:rsidRPr="000E32C3" w:rsidRDefault="000E32C3" w:rsidP="000E32C3">
      <w:r w:rsidRPr="000E32C3">
        <w:t xml:space="preserve">TCA functions analogously </w:t>
      </w:r>
      <w:proofErr w:type="gramStart"/>
      <w:r w:rsidRPr="000E32C3">
        <w:t>to</w:t>
      </w:r>
      <w:proofErr w:type="gramEnd"/>
      <w:r w:rsidRPr="000E32C3">
        <w:t xml:space="preserve"> a credit rating agency for upstream energy — translating subsurface uncertainty into investable clarity.</w:t>
      </w:r>
    </w:p>
    <w:p w14:paraId="66C113F3" w14:textId="27B2E249" w:rsidR="000E32C3" w:rsidRDefault="000E32C3">
      <w:r>
        <w:br w:type="page"/>
      </w:r>
    </w:p>
    <w:p w14:paraId="18274E56" w14:textId="77777777" w:rsidR="000E32C3" w:rsidRPr="000E32C3" w:rsidRDefault="000E32C3" w:rsidP="000E32C3">
      <w:pPr>
        <w:pStyle w:val="Heading3"/>
        <w:rPr>
          <w:b/>
          <w:bCs/>
        </w:rPr>
      </w:pPr>
      <w:bookmarkStart w:id="2" w:name="_Toc222931533"/>
      <w:r w:rsidRPr="000E32C3">
        <w:rPr>
          <w:b/>
          <w:bCs/>
        </w:rPr>
        <w:lastRenderedPageBreak/>
        <w:t>I. The Upstream Risk Continuum</w:t>
      </w:r>
      <w:bookmarkEnd w:id="2"/>
    </w:p>
    <w:p w14:paraId="657149D1" w14:textId="77777777" w:rsidR="000E32C3" w:rsidRDefault="000E32C3" w:rsidP="000E32C3"/>
    <w:p w14:paraId="36F4F2CA" w14:textId="527ECC52" w:rsidR="000E32C3" w:rsidRPr="000E32C3" w:rsidRDefault="000E32C3" w:rsidP="000E32C3">
      <w:r w:rsidRPr="000E32C3">
        <w:t>Upstream oil and gas projects exist along a defined maturity spectrum:</w:t>
      </w:r>
    </w:p>
    <w:p w14:paraId="4B40A06A" w14:textId="77777777" w:rsidR="000E32C3" w:rsidRDefault="000E32C3" w:rsidP="000E32C3"/>
    <w:p w14:paraId="6E12F60A" w14:textId="4629C392" w:rsidR="000E32C3" w:rsidRPr="000E32C3" w:rsidRDefault="000E32C3" w:rsidP="000E32C3">
      <w:r w:rsidRPr="000E32C3">
        <w:t>Virgin Exploration → Prospect Definition → Permitted → Drilled &amp; Tested → Development → Producing Wells</w:t>
      </w:r>
    </w:p>
    <w:p w14:paraId="64757252" w14:textId="77777777" w:rsidR="000E32C3" w:rsidRDefault="000E32C3" w:rsidP="000E32C3"/>
    <w:p w14:paraId="6875C27C" w14:textId="0956DD53" w:rsidR="000E32C3" w:rsidRPr="000E32C3" w:rsidRDefault="000E32C3" w:rsidP="000E32C3">
      <w:r w:rsidRPr="000E32C3">
        <w:t xml:space="preserve">Risk declines as technical uncertainty is resolved and reserves transition from conceptual </w:t>
      </w:r>
      <w:proofErr w:type="spellStart"/>
      <w:r w:rsidRPr="000E32C3">
        <w:t>to proved</w:t>
      </w:r>
      <w:proofErr w:type="spellEnd"/>
      <w:r w:rsidRPr="000E32C3">
        <w:t xml:space="preserve"> producing.</w:t>
      </w:r>
    </w:p>
    <w:p w14:paraId="08B2FBC6" w14:textId="363F1BC5" w:rsidR="000E32C3" w:rsidRPr="000E32C3" w:rsidRDefault="000E32C3" w:rsidP="000E32C3"/>
    <w:p w14:paraId="2F3CB305" w14:textId="77777777" w:rsidR="0037119D" w:rsidRPr="00C27385" w:rsidRDefault="0037119D" w:rsidP="00C27385">
      <w:pPr>
        <w:pStyle w:val="Heading3"/>
        <w:rPr>
          <w:b/>
          <w:bCs/>
        </w:rPr>
      </w:pPr>
      <w:r w:rsidRPr="00C27385">
        <w:rPr>
          <w:b/>
          <w:bCs/>
        </w:rPr>
        <w:t>II. Conceptual Risk Gradient</w:t>
      </w:r>
    </w:p>
    <w:p w14:paraId="38C5001D" w14:textId="77777777" w:rsidR="0037119D" w:rsidRDefault="0037119D" w:rsidP="0037119D"/>
    <w:p w14:paraId="46AC94BE" w14:textId="61B35B5E" w:rsidR="0037119D" w:rsidRPr="0037119D" w:rsidRDefault="0037119D" w:rsidP="0037119D">
      <w:r w:rsidRPr="0037119D">
        <w:t xml:space="preserve">Below </w:t>
      </w:r>
      <w:proofErr w:type="gramStart"/>
      <w:r w:rsidRPr="0037119D">
        <w:t>is</w:t>
      </w:r>
      <w:proofErr w:type="gramEnd"/>
      <w:r w:rsidRPr="0037119D">
        <w:t xml:space="preserve"> TCA’s structured alignment of stage, primary risk driver, capital type, and commensurate return expectations.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597"/>
        <w:gridCol w:w="2222"/>
        <w:gridCol w:w="2664"/>
      </w:tblGrid>
      <w:tr w:rsidR="0037119D" w:rsidRPr="0037119D" w14:paraId="73D76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31344" w14:textId="77777777" w:rsidR="0037119D" w:rsidRPr="0037119D" w:rsidRDefault="0037119D" w:rsidP="0037119D">
            <w:pPr>
              <w:rPr>
                <w:b/>
                <w:bCs/>
              </w:rPr>
            </w:pPr>
            <w:r w:rsidRPr="0037119D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D96F42A" w14:textId="77777777" w:rsidR="0037119D" w:rsidRPr="0037119D" w:rsidRDefault="0037119D" w:rsidP="0037119D">
            <w:pPr>
              <w:rPr>
                <w:b/>
                <w:bCs/>
              </w:rPr>
            </w:pPr>
            <w:r w:rsidRPr="0037119D">
              <w:rPr>
                <w:b/>
                <w:bCs/>
              </w:rPr>
              <w:t>Primary Risk Driver</w:t>
            </w:r>
          </w:p>
        </w:tc>
        <w:tc>
          <w:tcPr>
            <w:tcW w:w="0" w:type="auto"/>
            <w:vAlign w:val="center"/>
            <w:hideMark/>
          </w:tcPr>
          <w:p w14:paraId="5321CEA4" w14:textId="77777777" w:rsidR="0037119D" w:rsidRPr="0037119D" w:rsidRDefault="0037119D" w:rsidP="0037119D">
            <w:pPr>
              <w:rPr>
                <w:b/>
                <w:bCs/>
              </w:rPr>
            </w:pPr>
            <w:r w:rsidRPr="0037119D">
              <w:rPr>
                <w:b/>
                <w:bCs/>
              </w:rPr>
              <w:t>Capital Type</w:t>
            </w:r>
          </w:p>
        </w:tc>
        <w:tc>
          <w:tcPr>
            <w:tcW w:w="0" w:type="auto"/>
            <w:vAlign w:val="center"/>
            <w:hideMark/>
          </w:tcPr>
          <w:p w14:paraId="53014C42" w14:textId="77777777" w:rsidR="0037119D" w:rsidRPr="0037119D" w:rsidRDefault="0037119D" w:rsidP="0037119D">
            <w:pPr>
              <w:rPr>
                <w:b/>
                <w:bCs/>
              </w:rPr>
            </w:pPr>
            <w:r w:rsidRPr="0037119D">
              <w:rPr>
                <w:b/>
                <w:bCs/>
              </w:rPr>
              <w:t>Return Ranges Commensurate with Risk</w:t>
            </w:r>
          </w:p>
        </w:tc>
      </w:tr>
      <w:tr w:rsidR="0037119D" w:rsidRPr="0037119D" w14:paraId="572D7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49FC" w14:textId="77777777" w:rsidR="0037119D" w:rsidRPr="0037119D" w:rsidRDefault="0037119D" w:rsidP="0037119D">
            <w:r w:rsidRPr="0037119D">
              <w:t>Virgin Exploration</w:t>
            </w:r>
          </w:p>
        </w:tc>
        <w:tc>
          <w:tcPr>
            <w:tcW w:w="0" w:type="auto"/>
            <w:vAlign w:val="center"/>
            <w:hideMark/>
          </w:tcPr>
          <w:p w14:paraId="0C3D1CB2" w14:textId="77777777" w:rsidR="0037119D" w:rsidRPr="0037119D" w:rsidRDefault="0037119D" w:rsidP="0037119D">
            <w:r w:rsidRPr="0037119D">
              <w:t>Geological uncertainty (hydrocarbon presence not proven)</w:t>
            </w:r>
          </w:p>
        </w:tc>
        <w:tc>
          <w:tcPr>
            <w:tcW w:w="0" w:type="auto"/>
            <w:vAlign w:val="center"/>
            <w:hideMark/>
          </w:tcPr>
          <w:p w14:paraId="1F828B78" w14:textId="77777777" w:rsidR="0037119D" w:rsidRPr="0037119D" w:rsidRDefault="0037119D" w:rsidP="0037119D">
            <w:r w:rsidRPr="0037119D">
              <w:t>High-risk equity / Wildcat capital</w:t>
            </w:r>
          </w:p>
        </w:tc>
        <w:tc>
          <w:tcPr>
            <w:tcW w:w="0" w:type="auto"/>
            <w:vAlign w:val="center"/>
            <w:hideMark/>
          </w:tcPr>
          <w:p w14:paraId="6E2D33E9" w14:textId="77777777" w:rsidR="0037119D" w:rsidRPr="0037119D" w:rsidRDefault="0037119D" w:rsidP="0037119D">
            <w:r w:rsidRPr="0037119D">
              <w:t>35% – 70%+ IRR (binary outcomes; loss or multi-bagger)</w:t>
            </w:r>
          </w:p>
        </w:tc>
      </w:tr>
      <w:tr w:rsidR="0037119D" w:rsidRPr="0037119D" w14:paraId="6B57B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3467B" w14:textId="77777777" w:rsidR="0037119D" w:rsidRPr="0037119D" w:rsidRDefault="0037119D" w:rsidP="0037119D">
            <w:r w:rsidRPr="0037119D">
              <w:t>Prospect Defined (Pre-Drill)</w:t>
            </w:r>
          </w:p>
        </w:tc>
        <w:tc>
          <w:tcPr>
            <w:tcW w:w="0" w:type="auto"/>
            <w:vAlign w:val="center"/>
            <w:hideMark/>
          </w:tcPr>
          <w:p w14:paraId="1B23A1C5" w14:textId="77777777" w:rsidR="0037119D" w:rsidRPr="0037119D" w:rsidRDefault="0037119D" w:rsidP="0037119D">
            <w:r w:rsidRPr="0037119D">
              <w:t>Subsurface probability &amp; drilling execution</w:t>
            </w:r>
          </w:p>
        </w:tc>
        <w:tc>
          <w:tcPr>
            <w:tcW w:w="0" w:type="auto"/>
            <w:vAlign w:val="center"/>
            <w:hideMark/>
          </w:tcPr>
          <w:p w14:paraId="4101C82D" w14:textId="77777777" w:rsidR="0037119D" w:rsidRPr="0037119D" w:rsidRDefault="0037119D" w:rsidP="0037119D">
            <w:r w:rsidRPr="0037119D">
              <w:t>Venture energy capital / Family office</w:t>
            </w:r>
          </w:p>
        </w:tc>
        <w:tc>
          <w:tcPr>
            <w:tcW w:w="0" w:type="auto"/>
            <w:vAlign w:val="center"/>
            <w:hideMark/>
          </w:tcPr>
          <w:p w14:paraId="7C69365E" w14:textId="77777777" w:rsidR="0037119D" w:rsidRPr="0037119D" w:rsidRDefault="0037119D" w:rsidP="0037119D">
            <w:r w:rsidRPr="0037119D">
              <w:t>25% – 45% IRR</w:t>
            </w:r>
          </w:p>
        </w:tc>
      </w:tr>
      <w:tr w:rsidR="0037119D" w:rsidRPr="0037119D" w14:paraId="7D85E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32F6" w14:textId="77777777" w:rsidR="0037119D" w:rsidRPr="0037119D" w:rsidRDefault="0037119D" w:rsidP="0037119D">
            <w:r w:rsidRPr="0037119D">
              <w:t>Permitted / Drill-Ready</w:t>
            </w:r>
          </w:p>
        </w:tc>
        <w:tc>
          <w:tcPr>
            <w:tcW w:w="0" w:type="auto"/>
            <w:vAlign w:val="center"/>
            <w:hideMark/>
          </w:tcPr>
          <w:p w14:paraId="75E6D1EB" w14:textId="77777777" w:rsidR="0037119D" w:rsidRPr="0037119D" w:rsidRDefault="0037119D" w:rsidP="0037119D">
            <w:r w:rsidRPr="0037119D">
              <w:t>Execution risk &amp; cost certainty</w:t>
            </w:r>
          </w:p>
        </w:tc>
        <w:tc>
          <w:tcPr>
            <w:tcW w:w="0" w:type="auto"/>
            <w:vAlign w:val="center"/>
            <w:hideMark/>
          </w:tcPr>
          <w:p w14:paraId="33101A4F" w14:textId="77777777" w:rsidR="0037119D" w:rsidRPr="0037119D" w:rsidRDefault="0037119D" w:rsidP="0037119D">
            <w:r w:rsidRPr="0037119D">
              <w:t>Opportunistic private equity</w:t>
            </w:r>
          </w:p>
        </w:tc>
        <w:tc>
          <w:tcPr>
            <w:tcW w:w="0" w:type="auto"/>
            <w:vAlign w:val="center"/>
            <w:hideMark/>
          </w:tcPr>
          <w:p w14:paraId="0BCE1EF2" w14:textId="77777777" w:rsidR="0037119D" w:rsidRPr="0037119D" w:rsidRDefault="0037119D" w:rsidP="0037119D">
            <w:r w:rsidRPr="0037119D">
              <w:t>20% – 35% IRR</w:t>
            </w:r>
          </w:p>
        </w:tc>
      </w:tr>
      <w:tr w:rsidR="0037119D" w:rsidRPr="0037119D" w14:paraId="281ED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B27A" w14:textId="77777777" w:rsidR="0037119D" w:rsidRPr="0037119D" w:rsidRDefault="0037119D" w:rsidP="0037119D">
            <w:r w:rsidRPr="0037119D">
              <w:t>Drilled &amp; Tested (Discovery Stage)</w:t>
            </w:r>
          </w:p>
        </w:tc>
        <w:tc>
          <w:tcPr>
            <w:tcW w:w="0" w:type="auto"/>
            <w:vAlign w:val="center"/>
            <w:hideMark/>
          </w:tcPr>
          <w:p w14:paraId="6D9EAEA3" w14:textId="77777777" w:rsidR="0037119D" w:rsidRPr="0037119D" w:rsidRDefault="0037119D" w:rsidP="0037119D">
            <w:r w:rsidRPr="0037119D">
              <w:t>Capital intensity &amp; development scalability</w:t>
            </w:r>
          </w:p>
        </w:tc>
        <w:tc>
          <w:tcPr>
            <w:tcW w:w="0" w:type="auto"/>
            <w:vAlign w:val="center"/>
            <w:hideMark/>
          </w:tcPr>
          <w:p w14:paraId="7B9E8584" w14:textId="77777777" w:rsidR="0037119D" w:rsidRPr="0037119D" w:rsidRDefault="0037119D" w:rsidP="0037119D">
            <w:r w:rsidRPr="0037119D">
              <w:t>Structured equity / Energy PE</w:t>
            </w:r>
          </w:p>
        </w:tc>
        <w:tc>
          <w:tcPr>
            <w:tcW w:w="0" w:type="auto"/>
            <w:vAlign w:val="center"/>
            <w:hideMark/>
          </w:tcPr>
          <w:p w14:paraId="0B752526" w14:textId="77777777" w:rsidR="0037119D" w:rsidRPr="0037119D" w:rsidRDefault="0037119D" w:rsidP="0037119D">
            <w:r w:rsidRPr="0037119D">
              <w:t>18% – 30% IRR</w:t>
            </w:r>
          </w:p>
        </w:tc>
      </w:tr>
      <w:tr w:rsidR="0037119D" w:rsidRPr="0037119D" w14:paraId="15D95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4E3A8" w14:textId="77777777" w:rsidR="0037119D" w:rsidRPr="0037119D" w:rsidRDefault="0037119D" w:rsidP="0037119D">
            <w:r w:rsidRPr="0037119D">
              <w:t>Development Program</w:t>
            </w:r>
          </w:p>
        </w:tc>
        <w:tc>
          <w:tcPr>
            <w:tcW w:w="0" w:type="auto"/>
            <w:vAlign w:val="center"/>
            <w:hideMark/>
          </w:tcPr>
          <w:p w14:paraId="250E83B7" w14:textId="77777777" w:rsidR="0037119D" w:rsidRPr="0037119D" w:rsidRDefault="0037119D" w:rsidP="0037119D">
            <w:r w:rsidRPr="0037119D">
              <w:t>Cost control, timing, operational scaling</w:t>
            </w:r>
          </w:p>
        </w:tc>
        <w:tc>
          <w:tcPr>
            <w:tcW w:w="0" w:type="auto"/>
            <w:vAlign w:val="center"/>
            <w:hideMark/>
          </w:tcPr>
          <w:p w14:paraId="38DFDB99" w14:textId="77777777" w:rsidR="0037119D" w:rsidRPr="0037119D" w:rsidRDefault="0037119D" w:rsidP="0037119D">
            <w:r w:rsidRPr="0037119D">
              <w:t>Institutional private equity</w:t>
            </w:r>
          </w:p>
        </w:tc>
        <w:tc>
          <w:tcPr>
            <w:tcW w:w="0" w:type="auto"/>
            <w:vAlign w:val="center"/>
            <w:hideMark/>
          </w:tcPr>
          <w:p w14:paraId="7EF8476F" w14:textId="77777777" w:rsidR="0037119D" w:rsidRPr="0037119D" w:rsidRDefault="0037119D" w:rsidP="0037119D">
            <w:r w:rsidRPr="0037119D">
              <w:t>15% – 25% IRR</w:t>
            </w:r>
          </w:p>
        </w:tc>
      </w:tr>
      <w:tr w:rsidR="0037119D" w:rsidRPr="0037119D" w14:paraId="3372C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69B0" w14:textId="77777777" w:rsidR="0037119D" w:rsidRPr="0037119D" w:rsidRDefault="0037119D" w:rsidP="0037119D">
            <w:r w:rsidRPr="0037119D">
              <w:t>Producing Wells (PDP)</w:t>
            </w:r>
          </w:p>
        </w:tc>
        <w:tc>
          <w:tcPr>
            <w:tcW w:w="0" w:type="auto"/>
            <w:vAlign w:val="center"/>
            <w:hideMark/>
          </w:tcPr>
          <w:p w14:paraId="0BF662E7" w14:textId="77777777" w:rsidR="0037119D" w:rsidRPr="0037119D" w:rsidRDefault="0037119D" w:rsidP="0037119D">
            <w:r w:rsidRPr="0037119D">
              <w:t>Commodity price &amp; operating efficiency</w:t>
            </w:r>
          </w:p>
        </w:tc>
        <w:tc>
          <w:tcPr>
            <w:tcW w:w="0" w:type="auto"/>
            <w:vAlign w:val="center"/>
            <w:hideMark/>
          </w:tcPr>
          <w:p w14:paraId="063CE2DB" w14:textId="77777777" w:rsidR="0037119D" w:rsidRPr="0037119D" w:rsidRDefault="0037119D" w:rsidP="0037119D">
            <w:r w:rsidRPr="0037119D">
              <w:t>Yield capital / Credit funds / Income investors</w:t>
            </w:r>
          </w:p>
        </w:tc>
        <w:tc>
          <w:tcPr>
            <w:tcW w:w="0" w:type="auto"/>
            <w:vAlign w:val="center"/>
            <w:hideMark/>
          </w:tcPr>
          <w:p w14:paraId="68D7A21B" w14:textId="77777777" w:rsidR="0037119D" w:rsidRPr="0037119D" w:rsidRDefault="0037119D" w:rsidP="0037119D">
            <w:r w:rsidRPr="0037119D">
              <w:t>8% – 18% IRR (often 10–15% target band)</w:t>
            </w:r>
          </w:p>
        </w:tc>
      </w:tr>
    </w:tbl>
    <w:p w14:paraId="24728DBC" w14:textId="77777777" w:rsidR="000E32C3" w:rsidRPr="000E32C3" w:rsidRDefault="000E32C3" w:rsidP="000E32C3"/>
    <w:p w14:paraId="42B4BC2B" w14:textId="40E2D99F" w:rsidR="000E32C3" w:rsidRPr="000E32C3" w:rsidRDefault="000E32C3" w:rsidP="000E32C3">
      <w:pPr>
        <w:pStyle w:val="Heading3"/>
        <w:rPr>
          <w:b/>
          <w:bCs/>
        </w:rPr>
      </w:pPr>
      <w:bookmarkStart w:id="3" w:name="_Toc222931534"/>
      <w:r w:rsidRPr="000E32C3">
        <w:rPr>
          <w:b/>
          <w:bCs/>
        </w:rPr>
        <w:t>I</w:t>
      </w:r>
      <w:r w:rsidR="00C27385">
        <w:rPr>
          <w:b/>
          <w:bCs/>
        </w:rPr>
        <w:t>I</w:t>
      </w:r>
      <w:r w:rsidRPr="000E32C3">
        <w:rPr>
          <w:b/>
          <w:bCs/>
        </w:rPr>
        <w:t>I. The TCA Risk Intelligence Framework</w:t>
      </w:r>
      <w:bookmarkEnd w:id="3"/>
    </w:p>
    <w:p w14:paraId="2AA3A10D" w14:textId="77777777" w:rsidR="000E32C3" w:rsidRPr="000E32C3" w:rsidRDefault="000E32C3" w:rsidP="000E32C3">
      <w:r w:rsidRPr="000E32C3">
        <w:t>TCA evaluates projects across five core risk domains:</w:t>
      </w:r>
    </w:p>
    <w:p w14:paraId="5AFECF0F" w14:textId="77777777" w:rsidR="000E32C3" w:rsidRDefault="000E32C3" w:rsidP="000E32C3"/>
    <w:p w14:paraId="09578888" w14:textId="0E653068" w:rsidR="000E32C3" w:rsidRPr="000E32C3" w:rsidRDefault="000E32C3" w:rsidP="000E32C3">
      <w:pPr>
        <w:pStyle w:val="Heading4"/>
      </w:pPr>
      <w:r w:rsidRPr="000E32C3">
        <w:t>1. Geological &amp; Reservoir Risk (GR)</w:t>
      </w:r>
    </w:p>
    <w:p w14:paraId="7E1D7ADB" w14:textId="77777777" w:rsidR="000E32C3" w:rsidRPr="000E32C3" w:rsidRDefault="000E32C3" w:rsidP="000E32C3">
      <w:pPr>
        <w:numPr>
          <w:ilvl w:val="0"/>
          <w:numId w:val="2"/>
        </w:numPr>
      </w:pPr>
      <w:r w:rsidRPr="000E32C3">
        <w:t>Basin maturity</w:t>
      </w:r>
    </w:p>
    <w:p w14:paraId="4BFF1F44" w14:textId="77777777" w:rsidR="000E32C3" w:rsidRPr="000E32C3" w:rsidRDefault="000E32C3" w:rsidP="000E32C3">
      <w:pPr>
        <w:numPr>
          <w:ilvl w:val="0"/>
          <w:numId w:val="2"/>
        </w:numPr>
      </w:pPr>
      <w:r w:rsidRPr="000E32C3">
        <w:t>Source rock viability</w:t>
      </w:r>
    </w:p>
    <w:p w14:paraId="155F4959" w14:textId="77777777" w:rsidR="000E32C3" w:rsidRPr="000E32C3" w:rsidRDefault="000E32C3" w:rsidP="000E32C3">
      <w:pPr>
        <w:numPr>
          <w:ilvl w:val="0"/>
          <w:numId w:val="2"/>
        </w:numPr>
      </w:pPr>
      <w:r w:rsidRPr="000E32C3">
        <w:t>Trap integrity</w:t>
      </w:r>
    </w:p>
    <w:p w14:paraId="038DA66A" w14:textId="77777777" w:rsidR="000E32C3" w:rsidRPr="000E32C3" w:rsidRDefault="000E32C3" w:rsidP="000E32C3">
      <w:pPr>
        <w:numPr>
          <w:ilvl w:val="0"/>
          <w:numId w:val="2"/>
        </w:numPr>
      </w:pPr>
      <w:r w:rsidRPr="000E32C3">
        <w:t>Reservoir quality</w:t>
      </w:r>
    </w:p>
    <w:p w14:paraId="6C35E422" w14:textId="77777777" w:rsidR="000E32C3" w:rsidRPr="000E32C3" w:rsidRDefault="000E32C3" w:rsidP="000E32C3">
      <w:pPr>
        <w:numPr>
          <w:ilvl w:val="0"/>
          <w:numId w:val="2"/>
        </w:numPr>
      </w:pPr>
      <w:r w:rsidRPr="000E32C3">
        <w:t>Hydrocarbon indicators</w:t>
      </w:r>
    </w:p>
    <w:p w14:paraId="6A7DCBF5" w14:textId="77777777" w:rsidR="000E32C3" w:rsidRPr="000E32C3" w:rsidRDefault="000E32C3" w:rsidP="000E32C3">
      <w:pPr>
        <w:numPr>
          <w:ilvl w:val="0"/>
          <w:numId w:val="2"/>
        </w:numPr>
      </w:pPr>
      <w:r w:rsidRPr="000E32C3">
        <w:t>Data density</w:t>
      </w:r>
    </w:p>
    <w:p w14:paraId="0E5933C8" w14:textId="77777777" w:rsidR="00E65F6C" w:rsidRDefault="00E65F6C" w:rsidP="000E32C3"/>
    <w:p w14:paraId="77066D83" w14:textId="7357E781" w:rsidR="000E32C3" w:rsidRPr="000E32C3" w:rsidRDefault="000E32C3" w:rsidP="000E32C3">
      <w:r w:rsidRPr="000E32C3">
        <w:t>This category dominates early-stage evaluation.</w:t>
      </w:r>
    </w:p>
    <w:p w14:paraId="4CA42FED" w14:textId="7FEE3417" w:rsidR="000E32C3" w:rsidRPr="000E32C3" w:rsidRDefault="000E32C3" w:rsidP="000E32C3"/>
    <w:p w14:paraId="51CF8252" w14:textId="77777777" w:rsidR="000E32C3" w:rsidRPr="000E32C3" w:rsidRDefault="000E32C3" w:rsidP="000E32C3">
      <w:pPr>
        <w:pStyle w:val="Heading4"/>
      </w:pPr>
      <w:r w:rsidRPr="000E32C3">
        <w:t>2. Technical &amp; Execution Risk (TE)</w:t>
      </w:r>
    </w:p>
    <w:p w14:paraId="20C75ADC" w14:textId="77777777" w:rsidR="000E32C3" w:rsidRPr="000E32C3" w:rsidRDefault="000E32C3" w:rsidP="000E32C3">
      <w:pPr>
        <w:numPr>
          <w:ilvl w:val="0"/>
          <w:numId w:val="3"/>
        </w:numPr>
      </w:pPr>
      <w:r w:rsidRPr="000E32C3">
        <w:t>Drilling complexity</w:t>
      </w:r>
    </w:p>
    <w:p w14:paraId="1AF55FF3" w14:textId="77777777" w:rsidR="000E32C3" w:rsidRPr="000E32C3" w:rsidRDefault="000E32C3" w:rsidP="000E32C3">
      <w:pPr>
        <w:numPr>
          <w:ilvl w:val="0"/>
          <w:numId w:val="3"/>
        </w:numPr>
      </w:pPr>
      <w:r w:rsidRPr="000E32C3">
        <w:t>Completion design</w:t>
      </w:r>
    </w:p>
    <w:p w14:paraId="526E9F54" w14:textId="77777777" w:rsidR="000E32C3" w:rsidRPr="000E32C3" w:rsidRDefault="000E32C3" w:rsidP="000E32C3">
      <w:pPr>
        <w:numPr>
          <w:ilvl w:val="0"/>
          <w:numId w:val="3"/>
        </w:numPr>
      </w:pPr>
      <w:r w:rsidRPr="000E32C3">
        <w:t>Cost reliability (AFE confidence)</w:t>
      </w:r>
    </w:p>
    <w:p w14:paraId="78E3403D" w14:textId="77777777" w:rsidR="000E32C3" w:rsidRPr="000E32C3" w:rsidRDefault="000E32C3" w:rsidP="000E32C3">
      <w:pPr>
        <w:numPr>
          <w:ilvl w:val="0"/>
          <w:numId w:val="3"/>
        </w:numPr>
      </w:pPr>
      <w:proofErr w:type="gramStart"/>
      <w:r w:rsidRPr="000E32C3">
        <w:t>Operator</w:t>
      </w:r>
      <w:proofErr w:type="gramEnd"/>
      <w:r w:rsidRPr="000E32C3">
        <w:t xml:space="preserve"> track record</w:t>
      </w:r>
    </w:p>
    <w:p w14:paraId="4124657D" w14:textId="77777777" w:rsidR="000E32C3" w:rsidRPr="000E32C3" w:rsidRDefault="000E32C3" w:rsidP="000E32C3">
      <w:pPr>
        <w:numPr>
          <w:ilvl w:val="0"/>
          <w:numId w:val="3"/>
        </w:numPr>
      </w:pPr>
      <w:r w:rsidRPr="000E32C3">
        <w:t>Supply chain exposure</w:t>
      </w:r>
    </w:p>
    <w:p w14:paraId="7ACA7105" w14:textId="77777777" w:rsidR="00E65F6C" w:rsidRDefault="00E65F6C" w:rsidP="000E32C3"/>
    <w:p w14:paraId="2C5633AB" w14:textId="0F243323" w:rsidR="000E32C3" w:rsidRPr="000E32C3" w:rsidRDefault="000E32C3" w:rsidP="000E32C3">
      <w:r w:rsidRPr="000E32C3">
        <w:t>This becomes critical in pre-drill and development stages.</w:t>
      </w:r>
    </w:p>
    <w:p w14:paraId="0208F700" w14:textId="61FB7F68" w:rsidR="000E32C3" w:rsidRPr="000E32C3" w:rsidRDefault="000E32C3" w:rsidP="000E32C3"/>
    <w:p w14:paraId="2CF8603E" w14:textId="77777777" w:rsidR="000E32C3" w:rsidRPr="000E32C3" w:rsidRDefault="000E32C3" w:rsidP="000E32C3">
      <w:pPr>
        <w:pStyle w:val="Heading4"/>
      </w:pPr>
      <w:r w:rsidRPr="000E32C3">
        <w:t>3. Regulatory &amp; Environmental Risk (RE)</w:t>
      </w:r>
    </w:p>
    <w:p w14:paraId="4F90E891" w14:textId="77777777" w:rsidR="000E32C3" w:rsidRPr="000E32C3" w:rsidRDefault="000E32C3" w:rsidP="000E32C3">
      <w:pPr>
        <w:numPr>
          <w:ilvl w:val="0"/>
          <w:numId w:val="4"/>
        </w:numPr>
      </w:pPr>
      <w:r w:rsidRPr="000E32C3">
        <w:t>Permit status</w:t>
      </w:r>
    </w:p>
    <w:p w14:paraId="0536DC72" w14:textId="77777777" w:rsidR="000E32C3" w:rsidRPr="000E32C3" w:rsidRDefault="000E32C3" w:rsidP="000E32C3">
      <w:pPr>
        <w:numPr>
          <w:ilvl w:val="0"/>
          <w:numId w:val="4"/>
        </w:numPr>
      </w:pPr>
      <w:r w:rsidRPr="000E32C3">
        <w:t>Environmental exposure</w:t>
      </w:r>
    </w:p>
    <w:p w14:paraId="24B3A5C2" w14:textId="77777777" w:rsidR="000E32C3" w:rsidRPr="000E32C3" w:rsidRDefault="000E32C3" w:rsidP="000E32C3">
      <w:pPr>
        <w:numPr>
          <w:ilvl w:val="0"/>
          <w:numId w:val="4"/>
        </w:numPr>
      </w:pPr>
      <w:r w:rsidRPr="000E32C3">
        <w:t>Federal vs state jurisdiction</w:t>
      </w:r>
    </w:p>
    <w:p w14:paraId="1AEABAA0" w14:textId="77777777" w:rsidR="000E32C3" w:rsidRPr="000E32C3" w:rsidRDefault="000E32C3" w:rsidP="000E32C3">
      <w:pPr>
        <w:numPr>
          <w:ilvl w:val="0"/>
          <w:numId w:val="4"/>
        </w:numPr>
      </w:pPr>
      <w:r w:rsidRPr="000E32C3">
        <w:t>Litigation risk</w:t>
      </w:r>
    </w:p>
    <w:p w14:paraId="3A0659FA" w14:textId="47AC6BCF" w:rsidR="000E32C3" w:rsidRPr="000E32C3" w:rsidRDefault="000E32C3" w:rsidP="000E32C3"/>
    <w:p w14:paraId="20B69B19" w14:textId="77777777" w:rsidR="000E32C3" w:rsidRPr="000E32C3" w:rsidRDefault="000E32C3" w:rsidP="000E32C3">
      <w:pPr>
        <w:pStyle w:val="Heading4"/>
      </w:pPr>
      <w:r w:rsidRPr="000E32C3">
        <w:t>4. Commercial &amp; Financial Risk (CF)</w:t>
      </w:r>
    </w:p>
    <w:p w14:paraId="1868C84E" w14:textId="77777777" w:rsidR="000E32C3" w:rsidRPr="000E32C3" w:rsidRDefault="000E32C3" w:rsidP="000E32C3">
      <w:pPr>
        <w:numPr>
          <w:ilvl w:val="0"/>
          <w:numId w:val="5"/>
        </w:numPr>
      </w:pPr>
      <w:r w:rsidRPr="000E32C3">
        <w:t>Lease structure &amp; royalty burden</w:t>
      </w:r>
    </w:p>
    <w:p w14:paraId="06D910FC" w14:textId="77777777" w:rsidR="000E32C3" w:rsidRPr="000E32C3" w:rsidRDefault="000E32C3" w:rsidP="000E32C3">
      <w:pPr>
        <w:numPr>
          <w:ilvl w:val="0"/>
          <w:numId w:val="5"/>
        </w:numPr>
      </w:pPr>
      <w:r w:rsidRPr="000E32C3">
        <w:t>Capital stack stability</w:t>
      </w:r>
    </w:p>
    <w:p w14:paraId="506D534F" w14:textId="77777777" w:rsidR="000E32C3" w:rsidRPr="000E32C3" w:rsidRDefault="000E32C3" w:rsidP="000E32C3">
      <w:pPr>
        <w:numPr>
          <w:ilvl w:val="0"/>
          <w:numId w:val="5"/>
        </w:numPr>
      </w:pPr>
      <w:r w:rsidRPr="000E32C3">
        <w:t>Debt exposure</w:t>
      </w:r>
    </w:p>
    <w:p w14:paraId="0D21EDA5" w14:textId="77777777" w:rsidR="000E32C3" w:rsidRPr="000E32C3" w:rsidRDefault="000E32C3" w:rsidP="000E32C3">
      <w:pPr>
        <w:numPr>
          <w:ilvl w:val="0"/>
          <w:numId w:val="5"/>
        </w:numPr>
      </w:pPr>
      <w:r w:rsidRPr="000E32C3">
        <w:t>Funding certainty</w:t>
      </w:r>
    </w:p>
    <w:p w14:paraId="69A694A7" w14:textId="77777777" w:rsidR="000E32C3" w:rsidRPr="000E32C3" w:rsidRDefault="000E32C3" w:rsidP="000E32C3">
      <w:pPr>
        <w:numPr>
          <w:ilvl w:val="0"/>
          <w:numId w:val="5"/>
        </w:numPr>
      </w:pPr>
      <w:r w:rsidRPr="000E32C3">
        <w:t>Commodity hedge position</w:t>
      </w:r>
    </w:p>
    <w:p w14:paraId="36A1AFF9" w14:textId="56283D3A" w:rsidR="000E32C3" w:rsidRPr="000E32C3" w:rsidRDefault="000E32C3" w:rsidP="000E32C3"/>
    <w:p w14:paraId="73E8AD1C" w14:textId="77777777" w:rsidR="000E32C3" w:rsidRPr="000E32C3" w:rsidRDefault="000E32C3" w:rsidP="000E32C3">
      <w:pPr>
        <w:pStyle w:val="Heading4"/>
      </w:pPr>
      <w:r w:rsidRPr="000E32C3">
        <w:t>5. Infrastructure &amp; Market Risk (IM)</w:t>
      </w:r>
    </w:p>
    <w:p w14:paraId="4045FA37" w14:textId="77777777" w:rsidR="000E32C3" w:rsidRPr="000E32C3" w:rsidRDefault="000E32C3" w:rsidP="000E32C3">
      <w:pPr>
        <w:numPr>
          <w:ilvl w:val="0"/>
          <w:numId w:val="6"/>
        </w:numPr>
      </w:pPr>
      <w:r w:rsidRPr="000E32C3">
        <w:t>Takeaway capacity</w:t>
      </w:r>
    </w:p>
    <w:p w14:paraId="579CF150" w14:textId="77777777" w:rsidR="000E32C3" w:rsidRPr="000E32C3" w:rsidRDefault="000E32C3" w:rsidP="000E32C3">
      <w:pPr>
        <w:numPr>
          <w:ilvl w:val="0"/>
          <w:numId w:val="6"/>
        </w:numPr>
      </w:pPr>
      <w:r w:rsidRPr="000E32C3">
        <w:t>Processing availability</w:t>
      </w:r>
    </w:p>
    <w:p w14:paraId="3AE26207" w14:textId="77777777" w:rsidR="000E32C3" w:rsidRPr="000E32C3" w:rsidRDefault="000E32C3" w:rsidP="000E32C3">
      <w:pPr>
        <w:numPr>
          <w:ilvl w:val="0"/>
          <w:numId w:val="6"/>
        </w:numPr>
      </w:pPr>
      <w:r w:rsidRPr="000E32C3">
        <w:t>Regional basis differential</w:t>
      </w:r>
    </w:p>
    <w:p w14:paraId="19D789D3" w14:textId="77777777" w:rsidR="000E32C3" w:rsidRPr="000E32C3" w:rsidRDefault="000E32C3" w:rsidP="000E32C3">
      <w:pPr>
        <w:numPr>
          <w:ilvl w:val="0"/>
          <w:numId w:val="6"/>
        </w:numPr>
      </w:pPr>
      <w:r w:rsidRPr="000E32C3">
        <w:t>Operating cost sensitivity</w:t>
      </w:r>
    </w:p>
    <w:p w14:paraId="7CCF30FA" w14:textId="792CCA32" w:rsidR="000E32C3" w:rsidRDefault="000E32C3">
      <w:r>
        <w:br w:type="page"/>
      </w:r>
    </w:p>
    <w:p w14:paraId="3396D20B" w14:textId="59EAAD6C" w:rsidR="000E32C3" w:rsidRPr="000E32C3" w:rsidRDefault="000E32C3" w:rsidP="000E32C3">
      <w:pPr>
        <w:pStyle w:val="Heading3"/>
        <w:rPr>
          <w:b/>
          <w:bCs/>
        </w:rPr>
      </w:pPr>
      <w:bookmarkStart w:id="4" w:name="_Toc222931535"/>
      <w:r w:rsidRPr="000E32C3">
        <w:rPr>
          <w:b/>
          <w:bCs/>
        </w:rPr>
        <w:lastRenderedPageBreak/>
        <w:t>I</w:t>
      </w:r>
      <w:r w:rsidR="00C27385">
        <w:rPr>
          <w:b/>
          <w:bCs/>
        </w:rPr>
        <w:t>V</w:t>
      </w:r>
      <w:r w:rsidRPr="000E32C3">
        <w:rPr>
          <w:b/>
          <w:bCs/>
        </w:rPr>
        <w:t>. Weighted, Stage-Sensitive Risk Modeling</w:t>
      </w:r>
      <w:bookmarkEnd w:id="4"/>
    </w:p>
    <w:p w14:paraId="14C9F0F4" w14:textId="77777777" w:rsidR="000E32C3" w:rsidRDefault="000E32C3" w:rsidP="000E32C3"/>
    <w:p w14:paraId="3C04C723" w14:textId="65DE1B4B" w:rsidR="000E32C3" w:rsidRPr="000E32C3" w:rsidRDefault="000E32C3" w:rsidP="000E32C3">
      <w:r w:rsidRPr="000E32C3">
        <w:t>Not all risks carry equal importance at all stages.</w:t>
      </w:r>
    </w:p>
    <w:p w14:paraId="20BC6B65" w14:textId="77777777" w:rsidR="000E32C3" w:rsidRDefault="000E32C3" w:rsidP="000E32C3"/>
    <w:p w14:paraId="1E586D12" w14:textId="4B4B3EFE" w:rsidR="000E32C3" w:rsidRPr="000E32C3" w:rsidRDefault="000E32C3" w:rsidP="000E32C3">
      <w:r w:rsidRPr="000E32C3">
        <w:t>For example:</w:t>
      </w:r>
    </w:p>
    <w:p w14:paraId="66D9C443" w14:textId="77777777" w:rsidR="000E32C3" w:rsidRDefault="000E32C3" w:rsidP="000E32C3">
      <w:pPr>
        <w:rPr>
          <w:b/>
          <w:bCs/>
        </w:rPr>
      </w:pPr>
    </w:p>
    <w:p w14:paraId="415D1FD5" w14:textId="1E20AEAC" w:rsidR="000E32C3" w:rsidRDefault="000E32C3" w:rsidP="000E32C3">
      <w:pPr>
        <w:rPr>
          <w:b/>
          <w:bCs/>
        </w:rPr>
      </w:pPr>
      <w:r w:rsidRPr="000E32C3">
        <w:rPr>
          <w:b/>
          <w:bCs/>
        </w:rPr>
        <w:t>Exploration Stage Weighting</w:t>
      </w:r>
    </w:p>
    <w:p w14:paraId="65D6A3D8" w14:textId="77777777" w:rsidR="003F265B" w:rsidRPr="000E32C3" w:rsidRDefault="003F265B" w:rsidP="000E32C3">
      <w:pPr>
        <w:rPr>
          <w:b/>
          <w:bCs/>
        </w:rPr>
      </w:pPr>
    </w:p>
    <w:p w14:paraId="2C9B157B" w14:textId="77777777" w:rsidR="000E32C3" w:rsidRPr="000E32C3" w:rsidRDefault="000E32C3" w:rsidP="000E32C3">
      <w:pPr>
        <w:numPr>
          <w:ilvl w:val="0"/>
          <w:numId w:val="7"/>
        </w:numPr>
      </w:pPr>
      <w:r w:rsidRPr="000E32C3">
        <w:t>Geological Risk: 40%</w:t>
      </w:r>
    </w:p>
    <w:p w14:paraId="5493E720" w14:textId="77777777" w:rsidR="000E32C3" w:rsidRPr="000E32C3" w:rsidRDefault="000E32C3" w:rsidP="000E32C3">
      <w:pPr>
        <w:numPr>
          <w:ilvl w:val="0"/>
          <w:numId w:val="7"/>
        </w:numPr>
      </w:pPr>
      <w:r w:rsidRPr="000E32C3">
        <w:t>Technical Risk: 20%</w:t>
      </w:r>
    </w:p>
    <w:p w14:paraId="49168F7D" w14:textId="77777777" w:rsidR="000E32C3" w:rsidRPr="000E32C3" w:rsidRDefault="000E32C3" w:rsidP="000E32C3">
      <w:pPr>
        <w:numPr>
          <w:ilvl w:val="0"/>
          <w:numId w:val="7"/>
        </w:numPr>
      </w:pPr>
      <w:r w:rsidRPr="000E32C3">
        <w:t>Regulatory Risk: 15%</w:t>
      </w:r>
    </w:p>
    <w:p w14:paraId="018B9896" w14:textId="77777777" w:rsidR="000E32C3" w:rsidRPr="000E32C3" w:rsidRDefault="000E32C3" w:rsidP="000E32C3">
      <w:pPr>
        <w:numPr>
          <w:ilvl w:val="0"/>
          <w:numId w:val="7"/>
        </w:numPr>
      </w:pPr>
      <w:r w:rsidRPr="000E32C3">
        <w:t>Commercial Risk: 15%</w:t>
      </w:r>
    </w:p>
    <w:p w14:paraId="636974BA" w14:textId="77777777" w:rsidR="000E32C3" w:rsidRPr="000E32C3" w:rsidRDefault="000E32C3" w:rsidP="000E32C3">
      <w:pPr>
        <w:numPr>
          <w:ilvl w:val="0"/>
          <w:numId w:val="7"/>
        </w:numPr>
      </w:pPr>
      <w:r w:rsidRPr="000E32C3">
        <w:t>Infrastructure Risk: 10%</w:t>
      </w:r>
    </w:p>
    <w:p w14:paraId="0D4B55A1" w14:textId="77777777" w:rsidR="000E32C3" w:rsidRDefault="000E32C3" w:rsidP="000E32C3">
      <w:pPr>
        <w:rPr>
          <w:b/>
          <w:bCs/>
        </w:rPr>
      </w:pPr>
    </w:p>
    <w:p w14:paraId="5FAFF34A" w14:textId="2C6A83B4" w:rsidR="000E32C3" w:rsidRDefault="000E32C3" w:rsidP="000E32C3">
      <w:pPr>
        <w:rPr>
          <w:b/>
          <w:bCs/>
        </w:rPr>
      </w:pPr>
      <w:r w:rsidRPr="000E32C3">
        <w:rPr>
          <w:b/>
          <w:bCs/>
        </w:rPr>
        <w:t>Producing Stage Weighting</w:t>
      </w:r>
    </w:p>
    <w:p w14:paraId="3E2B07E6" w14:textId="77777777" w:rsidR="003F265B" w:rsidRPr="000E32C3" w:rsidRDefault="003F265B" w:rsidP="000E32C3">
      <w:pPr>
        <w:rPr>
          <w:b/>
          <w:bCs/>
        </w:rPr>
      </w:pPr>
    </w:p>
    <w:p w14:paraId="7C153C84" w14:textId="77777777" w:rsidR="000E32C3" w:rsidRPr="000E32C3" w:rsidRDefault="000E32C3" w:rsidP="000E32C3">
      <w:pPr>
        <w:numPr>
          <w:ilvl w:val="0"/>
          <w:numId w:val="8"/>
        </w:numPr>
      </w:pPr>
      <w:r w:rsidRPr="000E32C3">
        <w:t>Geological Risk: 5%</w:t>
      </w:r>
    </w:p>
    <w:p w14:paraId="55BF7D9A" w14:textId="77777777" w:rsidR="000E32C3" w:rsidRPr="000E32C3" w:rsidRDefault="000E32C3" w:rsidP="000E32C3">
      <w:pPr>
        <w:numPr>
          <w:ilvl w:val="0"/>
          <w:numId w:val="8"/>
        </w:numPr>
      </w:pPr>
      <w:r w:rsidRPr="000E32C3">
        <w:t>Technical Risk: 20%</w:t>
      </w:r>
    </w:p>
    <w:p w14:paraId="2E425B48" w14:textId="77777777" w:rsidR="000E32C3" w:rsidRPr="000E32C3" w:rsidRDefault="000E32C3" w:rsidP="000E32C3">
      <w:pPr>
        <w:numPr>
          <w:ilvl w:val="0"/>
          <w:numId w:val="8"/>
        </w:numPr>
      </w:pPr>
      <w:r w:rsidRPr="000E32C3">
        <w:t>Regulatory Risk: 15%</w:t>
      </w:r>
    </w:p>
    <w:p w14:paraId="42B4A6EF" w14:textId="77777777" w:rsidR="000E32C3" w:rsidRPr="000E32C3" w:rsidRDefault="000E32C3" w:rsidP="000E32C3">
      <w:pPr>
        <w:numPr>
          <w:ilvl w:val="0"/>
          <w:numId w:val="8"/>
        </w:numPr>
      </w:pPr>
      <w:r w:rsidRPr="000E32C3">
        <w:t>Commercial Risk: 35%</w:t>
      </w:r>
    </w:p>
    <w:p w14:paraId="54F377E1" w14:textId="77777777" w:rsidR="000E32C3" w:rsidRDefault="000E32C3" w:rsidP="000E32C3">
      <w:pPr>
        <w:numPr>
          <w:ilvl w:val="0"/>
          <w:numId w:val="8"/>
        </w:numPr>
      </w:pPr>
      <w:r w:rsidRPr="000E32C3">
        <w:t>Infrastructure Risk: 25%</w:t>
      </w:r>
    </w:p>
    <w:p w14:paraId="1F521E8B" w14:textId="77777777" w:rsidR="000E32C3" w:rsidRDefault="000E32C3" w:rsidP="000E32C3">
      <w:pPr>
        <w:ind w:left="720"/>
      </w:pPr>
    </w:p>
    <w:p w14:paraId="4AD3C1B1" w14:textId="1B4ACAC8" w:rsidR="000E32C3" w:rsidRPr="000E32C3" w:rsidRDefault="000E32C3" w:rsidP="000E32C3">
      <w:r w:rsidRPr="000E32C3">
        <w:t>This dynamic weighting allows TCA to avoid static risk scoring distortions.</w:t>
      </w:r>
    </w:p>
    <w:p w14:paraId="38BA81F0" w14:textId="093085C9" w:rsidR="000E32C3" w:rsidRPr="000E32C3" w:rsidRDefault="000E32C3" w:rsidP="000E32C3"/>
    <w:p w14:paraId="66179779" w14:textId="061C6DDF" w:rsidR="000E32C3" w:rsidRPr="000E32C3" w:rsidRDefault="000E32C3" w:rsidP="000E32C3">
      <w:pPr>
        <w:pStyle w:val="Heading3"/>
        <w:rPr>
          <w:b/>
          <w:bCs/>
        </w:rPr>
      </w:pPr>
      <w:bookmarkStart w:id="5" w:name="_Toc222931536"/>
      <w:r w:rsidRPr="000E32C3">
        <w:rPr>
          <w:b/>
          <w:bCs/>
        </w:rPr>
        <w:t>V. Composite Risk Score &amp; Grading</w:t>
      </w:r>
      <w:bookmarkEnd w:id="5"/>
    </w:p>
    <w:p w14:paraId="4FD5D823" w14:textId="77777777" w:rsidR="000E32C3" w:rsidRDefault="000E32C3" w:rsidP="000E32C3"/>
    <w:p w14:paraId="321ADB25" w14:textId="7B824674" w:rsidR="000E32C3" w:rsidRPr="000E32C3" w:rsidRDefault="000E32C3" w:rsidP="000E32C3">
      <w:r w:rsidRPr="000E32C3">
        <w:t>Each project receives:</w:t>
      </w:r>
    </w:p>
    <w:p w14:paraId="4B55DA48" w14:textId="77777777" w:rsidR="000E32C3" w:rsidRPr="000E32C3" w:rsidRDefault="000E32C3" w:rsidP="000E32C3">
      <w:pPr>
        <w:numPr>
          <w:ilvl w:val="0"/>
          <w:numId w:val="9"/>
        </w:numPr>
      </w:pPr>
      <w:r w:rsidRPr="000E32C3">
        <w:t>A numerical composite risk score (1.0–5.0)</w:t>
      </w:r>
    </w:p>
    <w:p w14:paraId="37A3CCB4" w14:textId="77777777" w:rsidR="000E32C3" w:rsidRDefault="000E32C3" w:rsidP="000E32C3">
      <w:pPr>
        <w:numPr>
          <w:ilvl w:val="0"/>
          <w:numId w:val="9"/>
        </w:numPr>
      </w:pPr>
      <w:r w:rsidRPr="000E32C3">
        <w:t>A categorical grade:</w:t>
      </w:r>
    </w:p>
    <w:p w14:paraId="1AA1DF9C" w14:textId="77777777" w:rsidR="000E32C3" w:rsidRPr="000E32C3" w:rsidRDefault="000E32C3" w:rsidP="000E32C3">
      <w:pPr>
        <w:ind w:left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015"/>
        <w:gridCol w:w="2524"/>
      </w:tblGrid>
      <w:tr w:rsidR="000E32C3" w:rsidRPr="000E32C3" w14:paraId="69A74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0F959" w14:textId="77777777" w:rsidR="000E32C3" w:rsidRPr="000E32C3" w:rsidRDefault="000E32C3" w:rsidP="000E32C3">
            <w:pPr>
              <w:rPr>
                <w:b/>
                <w:bCs/>
              </w:rPr>
            </w:pPr>
            <w:r w:rsidRPr="000E32C3">
              <w:rPr>
                <w:b/>
                <w:bCs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349A8AA6" w14:textId="77777777" w:rsidR="000E32C3" w:rsidRPr="000E32C3" w:rsidRDefault="000E32C3" w:rsidP="000E32C3">
            <w:pPr>
              <w:rPr>
                <w:b/>
                <w:bCs/>
              </w:rPr>
            </w:pPr>
            <w:r w:rsidRPr="000E32C3">
              <w:rPr>
                <w:b/>
                <w:bCs/>
              </w:rPr>
              <w:t>TCA Grade</w:t>
            </w:r>
          </w:p>
        </w:tc>
        <w:tc>
          <w:tcPr>
            <w:tcW w:w="0" w:type="auto"/>
            <w:vAlign w:val="center"/>
            <w:hideMark/>
          </w:tcPr>
          <w:p w14:paraId="27C5C870" w14:textId="77777777" w:rsidR="000E32C3" w:rsidRPr="000E32C3" w:rsidRDefault="000E32C3" w:rsidP="000E32C3">
            <w:pPr>
              <w:rPr>
                <w:b/>
                <w:bCs/>
              </w:rPr>
            </w:pPr>
            <w:r w:rsidRPr="000E32C3">
              <w:rPr>
                <w:b/>
                <w:bCs/>
              </w:rPr>
              <w:t>Institutional Interpretation</w:t>
            </w:r>
          </w:p>
        </w:tc>
      </w:tr>
      <w:tr w:rsidR="000E32C3" w:rsidRPr="000E32C3" w14:paraId="224B3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EDAE" w14:textId="77777777" w:rsidR="000E32C3" w:rsidRPr="000E32C3" w:rsidRDefault="000E32C3" w:rsidP="000E32C3">
            <w:r w:rsidRPr="000E32C3">
              <w:t>1.0–1.9</w:t>
            </w:r>
          </w:p>
        </w:tc>
        <w:tc>
          <w:tcPr>
            <w:tcW w:w="0" w:type="auto"/>
            <w:vAlign w:val="center"/>
            <w:hideMark/>
          </w:tcPr>
          <w:p w14:paraId="7C200AFE" w14:textId="77777777" w:rsidR="000E32C3" w:rsidRPr="000E32C3" w:rsidRDefault="000E32C3" w:rsidP="000E32C3">
            <w:r w:rsidRPr="000E32C3">
              <w:t>TCA-A</w:t>
            </w:r>
          </w:p>
        </w:tc>
        <w:tc>
          <w:tcPr>
            <w:tcW w:w="0" w:type="auto"/>
            <w:vAlign w:val="center"/>
            <w:hideMark/>
          </w:tcPr>
          <w:p w14:paraId="7452A9DB" w14:textId="77777777" w:rsidR="000E32C3" w:rsidRPr="000E32C3" w:rsidRDefault="000E32C3" w:rsidP="000E32C3">
            <w:r w:rsidRPr="000E32C3">
              <w:t>Stable, income-oriented</w:t>
            </w:r>
          </w:p>
        </w:tc>
      </w:tr>
      <w:tr w:rsidR="000E32C3" w:rsidRPr="000E32C3" w14:paraId="0F450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2F50" w14:textId="77777777" w:rsidR="000E32C3" w:rsidRPr="000E32C3" w:rsidRDefault="000E32C3" w:rsidP="000E32C3">
            <w:r w:rsidRPr="000E32C3">
              <w:t>2.0–2.5</w:t>
            </w:r>
          </w:p>
        </w:tc>
        <w:tc>
          <w:tcPr>
            <w:tcW w:w="0" w:type="auto"/>
            <w:vAlign w:val="center"/>
            <w:hideMark/>
          </w:tcPr>
          <w:p w14:paraId="0E82E08A" w14:textId="77777777" w:rsidR="000E32C3" w:rsidRPr="000E32C3" w:rsidRDefault="000E32C3" w:rsidP="000E32C3">
            <w:r w:rsidRPr="000E32C3">
              <w:t>TCA-B</w:t>
            </w:r>
          </w:p>
        </w:tc>
        <w:tc>
          <w:tcPr>
            <w:tcW w:w="0" w:type="auto"/>
            <w:vAlign w:val="center"/>
            <w:hideMark/>
          </w:tcPr>
          <w:p w14:paraId="4DECC4C1" w14:textId="77777777" w:rsidR="000E32C3" w:rsidRPr="000E32C3" w:rsidRDefault="000E32C3" w:rsidP="000E32C3">
            <w:r w:rsidRPr="000E32C3">
              <w:t>Core energy allocation</w:t>
            </w:r>
          </w:p>
        </w:tc>
      </w:tr>
      <w:tr w:rsidR="000E32C3" w:rsidRPr="000E32C3" w14:paraId="7488B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1BC4" w14:textId="77777777" w:rsidR="000E32C3" w:rsidRPr="000E32C3" w:rsidRDefault="000E32C3" w:rsidP="000E32C3">
            <w:r w:rsidRPr="000E32C3">
              <w:t>2.6–3.2</w:t>
            </w:r>
          </w:p>
        </w:tc>
        <w:tc>
          <w:tcPr>
            <w:tcW w:w="0" w:type="auto"/>
            <w:vAlign w:val="center"/>
            <w:hideMark/>
          </w:tcPr>
          <w:p w14:paraId="41280C2A" w14:textId="77777777" w:rsidR="000E32C3" w:rsidRPr="000E32C3" w:rsidRDefault="000E32C3" w:rsidP="000E32C3">
            <w:r w:rsidRPr="000E32C3">
              <w:t>TCA-C</w:t>
            </w:r>
          </w:p>
        </w:tc>
        <w:tc>
          <w:tcPr>
            <w:tcW w:w="0" w:type="auto"/>
            <w:vAlign w:val="center"/>
            <w:hideMark/>
          </w:tcPr>
          <w:p w14:paraId="3867788E" w14:textId="77777777" w:rsidR="000E32C3" w:rsidRPr="000E32C3" w:rsidRDefault="000E32C3" w:rsidP="000E32C3">
            <w:r w:rsidRPr="000E32C3">
              <w:t>Opportunistic</w:t>
            </w:r>
          </w:p>
        </w:tc>
      </w:tr>
      <w:tr w:rsidR="000E32C3" w:rsidRPr="000E32C3" w14:paraId="60B77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36F8" w14:textId="77777777" w:rsidR="000E32C3" w:rsidRPr="000E32C3" w:rsidRDefault="000E32C3" w:rsidP="000E32C3">
            <w:r w:rsidRPr="000E32C3">
              <w:t>3.3–4.0</w:t>
            </w:r>
          </w:p>
        </w:tc>
        <w:tc>
          <w:tcPr>
            <w:tcW w:w="0" w:type="auto"/>
            <w:vAlign w:val="center"/>
            <w:hideMark/>
          </w:tcPr>
          <w:p w14:paraId="68AD920C" w14:textId="77777777" w:rsidR="000E32C3" w:rsidRPr="000E32C3" w:rsidRDefault="000E32C3" w:rsidP="000E32C3">
            <w:r w:rsidRPr="000E32C3">
              <w:t>TCA-D</w:t>
            </w:r>
          </w:p>
        </w:tc>
        <w:tc>
          <w:tcPr>
            <w:tcW w:w="0" w:type="auto"/>
            <w:vAlign w:val="center"/>
            <w:hideMark/>
          </w:tcPr>
          <w:p w14:paraId="65C8BAE9" w14:textId="77777777" w:rsidR="000E32C3" w:rsidRPr="000E32C3" w:rsidRDefault="000E32C3" w:rsidP="000E32C3">
            <w:r w:rsidRPr="000E32C3">
              <w:t>High-risk capital</w:t>
            </w:r>
          </w:p>
        </w:tc>
      </w:tr>
      <w:tr w:rsidR="000E32C3" w:rsidRPr="000E32C3" w14:paraId="2058C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EB247" w14:textId="77777777" w:rsidR="000E32C3" w:rsidRPr="000E32C3" w:rsidRDefault="000E32C3" w:rsidP="000E32C3">
            <w:r w:rsidRPr="000E32C3">
              <w:t>&gt;4.0</w:t>
            </w:r>
          </w:p>
        </w:tc>
        <w:tc>
          <w:tcPr>
            <w:tcW w:w="0" w:type="auto"/>
            <w:vAlign w:val="center"/>
            <w:hideMark/>
          </w:tcPr>
          <w:p w14:paraId="126A5198" w14:textId="77777777" w:rsidR="000E32C3" w:rsidRPr="000E32C3" w:rsidRDefault="000E32C3" w:rsidP="000E32C3">
            <w:r w:rsidRPr="000E32C3">
              <w:t>TCA-S</w:t>
            </w:r>
          </w:p>
        </w:tc>
        <w:tc>
          <w:tcPr>
            <w:tcW w:w="0" w:type="auto"/>
            <w:vAlign w:val="center"/>
            <w:hideMark/>
          </w:tcPr>
          <w:p w14:paraId="13C8FB2E" w14:textId="77777777" w:rsidR="000E32C3" w:rsidRPr="000E32C3" w:rsidRDefault="000E32C3" w:rsidP="000E32C3">
            <w:r w:rsidRPr="000E32C3">
              <w:t>Speculative</w:t>
            </w:r>
          </w:p>
        </w:tc>
      </w:tr>
    </w:tbl>
    <w:p w14:paraId="21E8D00D" w14:textId="77777777" w:rsidR="000E32C3" w:rsidRDefault="000E32C3" w:rsidP="000E32C3"/>
    <w:p w14:paraId="08F26D35" w14:textId="4F0C320C" w:rsidR="000E32C3" w:rsidRPr="000E32C3" w:rsidRDefault="000E32C3" w:rsidP="000E32C3">
      <w:r w:rsidRPr="000E32C3">
        <w:t>This enables portfolio construction across multiple risk bands.</w:t>
      </w:r>
    </w:p>
    <w:p w14:paraId="575446CB" w14:textId="13DAE563" w:rsidR="003F265B" w:rsidRDefault="003F265B">
      <w:r>
        <w:br w:type="page"/>
      </w:r>
    </w:p>
    <w:p w14:paraId="572CD0F5" w14:textId="77777777" w:rsidR="000E32C3" w:rsidRPr="000E32C3" w:rsidRDefault="000E32C3" w:rsidP="000E32C3">
      <w:pPr>
        <w:pStyle w:val="Heading3"/>
        <w:rPr>
          <w:b/>
          <w:bCs/>
        </w:rPr>
      </w:pPr>
      <w:bookmarkStart w:id="6" w:name="_Toc222931537"/>
      <w:r w:rsidRPr="000E32C3">
        <w:rPr>
          <w:b/>
          <w:bCs/>
        </w:rPr>
        <w:lastRenderedPageBreak/>
        <w:t>V. Risk-Adjusted Return Alignment</w:t>
      </w:r>
      <w:bookmarkEnd w:id="6"/>
    </w:p>
    <w:p w14:paraId="04FC2FAB" w14:textId="77777777" w:rsidR="000E32C3" w:rsidRDefault="000E32C3" w:rsidP="000E32C3"/>
    <w:p w14:paraId="6D592077" w14:textId="5383DE83" w:rsidR="000E32C3" w:rsidRPr="000E32C3" w:rsidRDefault="000E32C3" w:rsidP="000E32C3">
      <w:r w:rsidRPr="000E32C3">
        <w:t>TCA integrates risk scoring with required return thresholds:</w:t>
      </w:r>
    </w:p>
    <w:p w14:paraId="63284955" w14:textId="77777777" w:rsidR="000E32C3" w:rsidRDefault="000E32C3" w:rsidP="000E32C3"/>
    <w:p w14:paraId="0F3F70CA" w14:textId="05FD5811" w:rsidR="000E32C3" w:rsidRPr="000E32C3" w:rsidRDefault="000E32C3" w:rsidP="000E32C3">
      <w:r w:rsidRPr="000E32C3">
        <w:t>Required IRR = Risk-Free Rate + (Composite Score × Risk Premium Multiplier)</w:t>
      </w:r>
    </w:p>
    <w:p w14:paraId="0FD6BD18" w14:textId="77777777" w:rsidR="000E32C3" w:rsidRPr="000E32C3" w:rsidRDefault="000E32C3" w:rsidP="000E32C3">
      <w:r w:rsidRPr="000E32C3">
        <w:t>Example:</w:t>
      </w:r>
    </w:p>
    <w:p w14:paraId="53CD9977" w14:textId="77777777" w:rsidR="000E32C3" w:rsidRDefault="000E32C3" w:rsidP="000E32C3"/>
    <w:p w14:paraId="3C20EEAD" w14:textId="59BD720F" w:rsidR="000E32C3" w:rsidRPr="000E32C3" w:rsidRDefault="000E32C3" w:rsidP="000E32C3">
      <w:r w:rsidRPr="000E32C3">
        <w:t>Risk-Free Rate: 4%</w:t>
      </w:r>
      <w:r w:rsidRPr="000E32C3">
        <w:br/>
        <w:t>Composite Score: 3.0</w:t>
      </w:r>
      <w:r w:rsidRPr="000E32C3">
        <w:br/>
        <w:t>Risk Multiplier: 3%</w:t>
      </w:r>
    </w:p>
    <w:p w14:paraId="56713C16" w14:textId="77777777" w:rsidR="000E32C3" w:rsidRPr="000E32C3" w:rsidRDefault="000E32C3" w:rsidP="000E32C3">
      <w:r w:rsidRPr="000E32C3">
        <w:t>Required IRR = 13%</w:t>
      </w:r>
    </w:p>
    <w:p w14:paraId="43BEB39D" w14:textId="77777777" w:rsidR="000E32C3" w:rsidRDefault="000E32C3" w:rsidP="000E32C3"/>
    <w:p w14:paraId="511AFEA5" w14:textId="11855947" w:rsidR="000E32C3" w:rsidRPr="000E32C3" w:rsidRDefault="000E32C3" w:rsidP="000E32C3">
      <w:r w:rsidRPr="000E32C3">
        <w:t>This ensures capital pricing reflects structured risk rather than sentiment.</w:t>
      </w:r>
    </w:p>
    <w:p w14:paraId="13A7D3F0" w14:textId="3A185BBB" w:rsidR="000E32C3" w:rsidRPr="000E32C3" w:rsidRDefault="000E32C3" w:rsidP="000E32C3"/>
    <w:p w14:paraId="287A696B" w14:textId="77777777" w:rsidR="000E32C3" w:rsidRPr="000E32C3" w:rsidRDefault="000E32C3" w:rsidP="000E32C3">
      <w:pPr>
        <w:pStyle w:val="Heading3"/>
        <w:rPr>
          <w:b/>
          <w:bCs/>
        </w:rPr>
      </w:pPr>
      <w:bookmarkStart w:id="7" w:name="_Toc222931538"/>
      <w:r w:rsidRPr="000E32C3">
        <w:rPr>
          <w:b/>
          <w:bCs/>
        </w:rPr>
        <w:t>VI. Institutional Use Cases</w:t>
      </w:r>
      <w:bookmarkEnd w:id="7"/>
    </w:p>
    <w:p w14:paraId="77208E23" w14:textId="77777777" w:rsidR="000E32C3" w:rsidRDefault="000E32C3" w:rsidP="000E32C3"/>
    <w:p w14:paraId="7B2AEF6E" w14:textId="2584EA63" w:rsidR="000E32C3" w:rsidRPr="000E32C3" w:rsidRDefault="000E32C3" w:rsidP="000E32C3">
      <w:r w:rsidRPr="000E32C3">
        <w:t>TCA’s framework supports:</w:t>
      </w:r>
    </w:p>
    <w:p w14:paraId="57F90969" w14:textId="77777777" w:rsidR="000E32C3" w:rsidRDefault="000E32C3" w:rsidP="000E32C3">
      <w:pPr>
        <w:rPr>
          <w:b/>
          <w:bCs/>
        </w:rPr>
      </w:pPr>
    </w:p>
    <w:p w14:paraId="39304CB1" w14:textId="6D7C6344" w:rsidR="000E32C3" w:rsidRPr="000E32C3" w:rsidRDefault="000E32C3" w:rsidP="000E32C3">
      <w:pPr>
        <w:rPr>
          <w:b/>
          <w:bCs/>
        </w:rPr>
      </w:pPr>
      <w:r w:rsidRPr="000E32C3">
        <w:rPr>
          <w:b/>
          <w:bCs/>
        </w:rPr>
        <w:t>Private Equity Firms</w:t>
      </w:r>
    </w:p>
    <w:p w14:paraId="0CFAF45A" w14:textId="77777777" w:rsidR="000E32C3" w:rsidRPr="000E32C3" w:rsidRDefault="000E32C3" w:rsidP="000E32C3">
      <w:pPr>
        <w:numPr>
          <w:ilvl w:val="0"/>
          <w:numId w:val="10"/>
        </w:numPr>
      </w:pPr>
      <w:r w:rsidRPr="000E32C3">
        <w:t>Screening upstream opportunities</w:t>
      </w:r>
    </w:p>
    <w:p w14:paraId="127CD034" w14:textId="77777777" w:rsidR="000E32C3" w:rsidRPr="000E32C3" w:rsidRDefault="000E32C3" w:rsidP="000E32C3">
      <w:pPr>
        <w:numPr>
          <w:ilvl w:val="0"/>
          <w:numId w:val="10"/>
        </w:numPr>
      </w:pPr>
      <w:r w:rsidRPr="000E32C3">
        <w:t>Portfolio risk balancing</w:t>
      </w:r>
    </w:p>
    <w:p w14:paraId="594C1482" w14:textId="77777777" w:rsidR="000E32C3" w:rsidRPr="000E32C3" w:rsidRDefault="000E32C3" w:rsidP="000E32C3">
      <w:pPr>
        <w:numPr>
          <w:ilvl w:val="0"/>
          <w:numId w:val="10"/>
        </w:numPr>
      </w:pPr>
      <w:r w:rsidRPr="000E32C3">
        <w:t>Exit valuation positioning</w:t>
      </w:r>
    </w:p>
    <w:p w14:paraId="5710D087" w14:textId="77777777" w:rsidR="000E32C3" w:rsidRDefault="000E32C3" w:rsidP="000E32C3">
      <w:pPr>
        <w:rPr>
          <w:b/>
          <w:bCs/>
        </w:rPr>
      </w:pPr>
    </w:p>
    <w:p w14:paraId="56BBB337" w14:textId="07EAD598" w:rsidR="000E32C3" w:rsidRPr="000E32C3" w:rsidRDefault="000E32C3" w:rsidP="000E32C3">
      <w:pPr>
        <w:rPr>
          <w:b/>
          <w:bCs/>
        </w:rPr>
      </w:pPr>
      <w:r w:rsidRPr="000E32C3">
        <w:rPr>
          <w:b/>
          <w:bCs/>
        </w:rPr>
        <w:t>Family Offices</w:t>
      </w:r>
    </w:p>
    <w:p w14:paraId="79D725B6" w14:textId="77777777" w:rsidR="000E32C3" w:rsidRPr="000E32C3" w:rsidRDefault="000E32C3" w:rsidP="000E32C3">
      <w:pPr>
        <w:numPr>
          <w:ilvl w:val="0"/>
          <w:numId w:val="11"/>
        </w:numPr>
      </w:pPr>
      <w:r w:rsidRPr="000E32C3">
        <w:t>Comparing exploration vs PDP cash-flow assets</w:t>
      </w:r>
    </w:p>
    <w:p w14:paraId="4DCEA410" w14:textId="77777777" w:rsidR="000E32C3" w:rsidRPr="000E32C3" w:rsidRDefault="000E32C3" w:rsidP="000E32C3">
      <w:pPr>
        <w:numPr>
          <w:ilvl w:val="0"/>
          <w:numId w:val="11"/>
        </w:numPr>
      </w:pPr>
      <w:r w:rsidRPr="000E32C3">
        <w:t>Managing commodity exposure risk</w:t>
      </w:r>
    </w:p>
    <w:p w14:paraId="5915D3EC" w14:textId="77777777" w:rsidR="000E32C3" w:rsidRDefault="000E32C3" w:rsidP="000E32C3">
      <w:pPr>
        <w:rPr>
          <w:b/>
          <w:bCs/>
        </w:rPr>
      </w:pPr>
    </w:p>
    <w:p w14:paraId="0B78D7DA" w14:textId="3B1CC09B" w:rsidR="000E32C3" w:rsidRPr="000E32C3" w:rsidRDefault="000E32C3" w:rsidP="000E32C3">
      <w:pPr>
        <w:rPr>
          <w:b/>
          <w:bCs/>
        </w:rPr>
      </w:pPr>
      <w:r w:rsidRPr="000E32C3">
        <w:rPr>
          <w:b/>
          <w:bCs/>
        </w:rPr>
        <w:t>Credit Funds</w:t>
      </w:r>
    </w:p>
    <w:p w14:paraId="35FD7819" w14:textId="77777777" w:rsidR="000E32C3" w:rsidRPr="000E32C3" w:rsidRDefault="000E32C3" w:rsidP="000E32C3">
      <w:pPr>
        <w:numPr>
          <w:ilvl w:val="0"/>
          <w:numId w:val="12"/>
        </w:numPr>
      </w:pPr>
      <w:r w:rsidRPr="000E32C3">
        <w:t>Underwriting reserve-based lending risk</w:t>
      </w:r>
    </w:p>
    <w:p w14:paraId="211EEF0A" w14:textId="77777777" w:rsidR="000E32C3" w:rsidRDefault="000E32C3" w:rsidP="000E32C3">
      <w:pPr>
        <w:rPr>
          <w:b/>
          <w:bCs/>
        </w:rPr>
      </w:pPr>
    </w:p>
    <w:p w14:paraId="57F52FDF" w14:textId="356FE7DE" w:rsidR="000E32C3" w:rsidRPr="000E32C3" w:rsidRDefault="000E32C3" w:rsidP="000E32C3">
      <w:pPr>
        <w:rPr>
          <w:b/>
          <w:bCs/>
        </w:rPr>
      </w:pPr>
      <w:r w:rsidRPr="000E32C3">
        <w:rPr>
          <w:b/>
          <w:bCs/>
        </w:rPr>
        <w:t>Energy-Focused Funds</w:t>
      </w:r>
    </w:p>
    <w:p w14:paraId="743A6137" w14:textId="77777777" w:rsidR="000E32C3" w:rsidRPr="000E32C3" w:rsidRDefault="000E32C3" w:rsidP="000E32C3">
      <w:pPr>
        <w:numPr>
          <w:ilvl w:val="0"/>
          <w:numId w:val="13"/>
        </w:numPr>
      </w:pPr>
      <w:r w:rsidRPr="000E32C3">
        <w:t>Creating tiered fund strategies by TCA grade</w:t>
      </w:r>
    </w:p>
    <w:p w14:paraId="7EB067B3" w14:textId="7079378A" w:rsidR="000E32C3" w:rsidRPr="000E32C3" w:rsidRDefault="000E32C3" w:rsidP="000E32C3"/>
    <w:p w14:paraId="50872D72" w14:textId="77777777" w:rsidR="000E32C3" w:rsidRPr="000E32C3" w:rsidRDefault="000E32C3" w:rsidP="000E32C3">
      <w:pPr>
        <w:pStyle w:val="Heading3"/>
        <w:rPr>
          <w:b/>
          <w:bCs/>
        </w:rPr>
      </w:pPr>
      <w:bookmarkStart w:id="8" w:name="_Toc222931539"/>
      <w:r w:rsidRPr="000E32C3">
        <w:rPr>
          <w:b/>
          <w:bCs/>
        </w:rPr>
        <w:t>VII. Differentiation in the Market</w:t>
      </w:r>
      <w:bookmarkEnd w:id="8"/>
    </w:p>
    <w:p w14:paraId="375F459D" w14:textId="77777777" w:rsidR="000E32C3" w:rsidRDefault="000E32C3" w:rsidP="000E32C3"/>
    <w:p w14:paraId="6CE74C26" w14:textId="3AC51FBC" w:rsidR="000E32C3" w:rsidRPr="000E32C3" w:rsidRDefault="000E32C3" w:rsidP="000E32C3">
      <w:r w:rsidRPr="000E32C3">
        <w:t>Traditional upstream evaluation relies on:</w:t>
      </w:r>
    </w:p>
    <w:p w14:paraId="00613090" w14:textId="77777777" w:rsidR="000E32C3" w:rsidRPr="000E32C3" w:rsidRDefault="000E32C3" w:rsidP="000E32C3">
      <w:pPr>
        <w:numPr>
          <w:ilvl w:val="0"/>
          <w:numId w:val="14"/>
        </w:numPr>
      </w:pPr>
      <w:r w:rsidRPr="000E32C3">
        <w:t>Subjective geological narratives</w:t>
      </w:r>
    </w:p>
    <w:p w14:paraId="2B90C760" w14:textId="77777777" w:rsidR="000E32C3" w:rsidRPr="000E32C3" w:rsidRDefault="000E32C3" w:rsidP="000E32C3">
      <w:pPr>
        <w:numPr>
          <w:ilvl w:val="0"/>
          <w:numId w:val="14"/>
        </w:numPr>
      </w:pPr>
      <w:r w:rsidRPr="000E32C3">
        <w:t>Operator-provided economics</w:t>
      </w:r>
    </w:p>
    <w:p w14:paraId="6C3D7727" w14:textId="77777777" w:rsidR="000E32C3" w:rsidRPr="000E32C3" w:rsidRDefault="000E32C3" w:rsidP="000E32C3">
      <w:pPr>
        <w:numPr>
          <w:ilvl w:val="0"/>
          <w:numId w:val="14"/>
        </w:numPr>
      </w:pPr>
      <w:r w:rsidRPr="000E32C3">
        <w:t>Non-standardized reserve reporting</w:t>
      </w:r>
    </w:p>
    <w:p w14:paraId="0D11141F" w14:textId="77777777" w:rsidR="000E32C3" w:rsidRPr="000E32C3" w:rsidRDefault="000E32C3" w:rsidP="000E32C3">
      <w:r w:rsidRPr="000E32C3">
        <w:t>TCA introduces:</w:t>
      </w:r>
    </w:p>
    <w:p w14:paraId="633DB3F7" w14:textId="77777777" w:rsidR="000E32C3" w:rsidRPr="000E32C3" w:rsidRDefault="000E32C3" w:rsidP="000E32C3">
      <w:pPr>
        <w:numPr>
          <w:ilvl w:val="0"/>
          <w:numId w:val="15"/>
        </w:numPr>
      </w:pPr>
      <w:r w:rsidRPr="000E32C3">
        <w:t>Structured scoring</w:t>
      </w:r>
    </w:p>
    <w:p w14:paraId="512DE83E" w14:textId="77777777" w:rsidR="000E32C3" w:rsidRPr="000E32C3" w:rsidRDefault="000E32C3" w:rsidP="000E32C3">
      <w:pPr>
        <w:numPr>
          <w:ilvl w:val="0"/>
          <w:numId w:val="15"/>
        </w:numPr>
      </w:pPr>
      <w:r w:rsidRPr="000E32C3">
        <w:t>Quantifiable uncertainty metrics</w:t>
      </w:r>
    </w:p>
    <w:p w14:paraId="6933605F" w14:textId="77777777" w:rsidR="000E32C3" w:rsidRPr="000E32C3" w:rsidRDefault="000E32C3" w:rsidP="000E32C3">
      <w:pPr>
        <w:numPr>
          <w:ilvl w:val="0"/>
          <w:numId w:val="15"/>
        </w:numPr>
      </w:pPr>
      <w:r w:rsidRPr="000E32C3">
        <w:t>Cross-project comparability</w:t>
      </w:r>
    </w:p>
    <w:p w14:paraId="73051225" w14:textId="77777777" w:rsidR="000E32C3" w:rsidRPr="000E32C3" w:rsidRDefault="000E32C3" w:rsidP="000E32C3">
      <w:pPr>
        <w:numPr>
          <w:ilvl w:val="0"/>
          <w:numId w:val="15"/>
        </w:numPr>
      </w:pPr>
      <w:r w:rsidRPr="000E32C3">
        <w:t>Defensible capital allocation methodology</w:t>
      </w:r>
    </w:p>
    <w:p w14:paraId="24961C64" w14:textId="77777777" w:rsidR="000E32C3" w:rsidRPr="000E32C3" w:rsidRDefault="000E32C3" w:rsidP="000E32C3">
      <w:r w:rsidRPr="000E32C3">
        <w:t>TCA reduces cognitive bias in energy investing.</w:t>
      </w:r>
    </w:p>
    <w:p w14:paraId="2DCBE10D" w14:textId="586EBE38" w:rsidR="000E32C3" w:rsidRPr="000E32C3" w:rsidRDefault="000E32C3" w:rsidP="000E32C3"/>
    <w:p w14:paraId="01857676" w14:textId="77777777" w:rsidR="000E32C3" w:rsidRPr="000E32C3" w:rsidRDefault="000E32C3" w:rsidP="000E32C3">
      <w:pPr>
        <w:pStyle w:val="Heading3"/>
        <w:rPr>
          <w:b/>
          <w:bCs/>
        </w:rPr>
      </w:pPr>
      <w:bookmarkStart w:id="9" w:name="_Toc222931540"/>
      <w:r w:rsidRPr="000E32C3">
        <w:rPr>
          <w:b/>
          <w:bCs/>
        </w:rPr>
        <w:t>VIII. Future Integration: Digital &amp; Tokenized Assets</w:t>
      </w:r>
      <w:bookmarkEnd w:id="9"/>
    </w:p>
    <w:p w14:paraId="060C6C41" w14:textId="77777777" w:rsidR="000E32C3" w:rsidRDefault="000E32C3" w:rsidP="000E32C3"/>
    <w:p w14:paraId="781E2BF6" w14:textId="3E8EC445" w:rsidR="000E32C3" w:rsidRPr="000E32C3" w:rsidRDefault="000E32C3" w:rsidP="000E32C3">
      <w:pPr>
        <w:rPr>
          <w:highlight w:val="yellow"/>
        </w:rPr>
      </w:pPr>
      <w:r w:rsidRPr="000E32C3">
        <w:rPr>
          <w:highlight w:val="yellow"/>
        </w:rPr>
        <w:t>The TCA framework is compatible with:</w:t>
      </w:r>
    </w:p>
    <w:p w14:paraId="388964D2" w14:textId="77777777" w:rsidR="000E32C3" w:rsidRPr="000E32C3" w:rsidRDefault="000E32C3" w:rsidP="000E32C3">
      <w:pPr>
        <w:numPr>
          <w:ilvl w:val="0"/>
          <w:numId w:val="16"/>
        </w:numPr>
        <w:rPr>
          <w:highlight w:val="yellow"/>
        </w:rPr>
      </w:pPr>
      <w:r w:rsidRPr="000E32C3">
        <w:rPr>
          <w:highlight w:val="yellow"/>
        </w:rPr>
        <w:t>Tokenized working interest offerings</w:t>
      </w:r>
    </w:p>
    <w:p w14:paraId="09ED9340" w14:textId="77777777" w:rsidR="000E32C3" w:rsidRPr="000E32C3" w:rsidRDefault="000E32C3" w:rsidP="000E32C3">
      <w:pPr>
        <w:numPr>
          <w:ilvl w:val="0"/>
          <w:numId w:val="16"/>
        </w:numPr>
        <w:rPr>
          <w:highlight w:val="yellow"/>
        </w:rPr>
      </w:pPr>
      <w:r w:rsidRPr="000E32C3">
        <w:rPr>
          <w:highlight w:val="yellow"/>
        </w:rPr>
        <w:t>Blockchain-based reserve transparency</w:t>
      </w:r>
    </w:p>
    <w:p w14:paraId="7A36B23F" w14:textId="77777777" w:rsidR="000E32C3" w:rsidRPr="000E32C3" w:rsidRDefault="000E32C3" w:rsidP="000E32C3">
      <w:pPr>
        <w:numPr>
          <w:ilvl w:val="0"/>
          <w:numId w:val="16"/>
        </w:numPr>
        <w:rPr>
          <w:highlight w:val="yellow"/>
        </w:rPr>
      </w:pPr>
      <w:r w:rsidRPr="000E32C3">
        <w:rPr>
          <w:highlight w:val="yellow"/>
        </w:rPr>
        <w:t>On-chain yield products backed by producing wells</w:t>
      </w:r>
    </w:p>
    <w:p w14:paraId="1F611D57" w14:textId="77777777" w:rsidR="000E32C3" w:rsidRPr="000E32C3" w:rsidRDefault="000E32C3" w:rsidP="000E32C3">
      <w:pPr>
        <w:numPr>
          <w:ilvl w:val="0"/>
          <w:numId w:val="16"/>
        </w:numPr>
        <w:rPr>
          <w:highlight w:val="yellow"/>
        </w:rPr>
      </w:pPr>
      <w:r w:rsidRPr="000E32C3">
        <w:rPr>
          <w:highlight w:val="yellow"/>
        </w:rPr>
        <w:t>Digital secondary markets for graded upstream assets</w:t>
      </w:r>
    </w:p>
    <w:p w14:paraId="6BAF4F38" w14:textId="77777777" w:rsidR="000E32C3" w:rsidRPr="000E32C3" w:rsidRDefault="000E32C3" w:rsidP="000E32C3">
      <w:r w:rsidRPr="000E32C3">
        <w:rPr>
          <w:highlight w:val="yellow"/>
        </w:rPr>
        <w:t>By standardizing risk evaluation, TCA creates a foundation for financial innovation in energy markets</w:t>
      </w:r>
      <w:r w:rsidRPr="000E32C3">
        <w:t>.</w:t>
      </w:r>
    </w:p>
    <w:p w14:paraId="3F7F1586" w14:textId="1976551E" w:rsidR="000E32C3" w:rsidRPr="000E32C3" w:rsidRDefault="000E32C3" w:rsidP="000E32C3"/>
    <w:p w14:paraId="09698B07" w14:textId="77777777" w:rsidR="000E32C3" w:rsidRPr="000E32C3" w:rsidRDefault="000E32C3" w:rsidP="000E32C3">
      <w:pPr>
        <w:pStyle w:val="Heading3"/>
        <w:rPr>
          <w:b/>
          <w:bCs/>
        </w:rPr>
      </w:pPr>
      <w:bookmarkStart w:id="10" w:name="_Toc222931541"/>
      <w:r w:rsidRPr="000E32C3">
        <w:rPr>
          <w:b/>
          <w:bCs/>
        </w:rPr>
        <w:t>IX. Governance &amp; Independence</w:t>
      </w:r>
      <w:bookmarkEnd w:id="10"/>
    </w:p>
    <w:p w14:paraId="1544C739" w14:textId="77777777" w:rsidR="000E32C3" w:rsidRDefault="000E32C3" w:rsidP="000E32C3"/>
    <w:p w14:paraId="31073AC0" w14:textId="6868BDC3" w:rsidR="000E32C3" w:rsidRDefault="000E32C3" w:rsidP="000E32C3">
      <w:r w:rsidRPr="000E32C3">
        <w:t>To maintain institutional credibility, TCA:</w:t>
      </w:r>
    </w:p>
    <w:p w14:paraId="53D4030C" w14:textId="77777777" w:rsidR="000E32C3" w:rsidRPr="000E32C3" w:rsidRDefault="000E32C3" w:rsidP="000E32C3"/>
    <w:p w14:paraId="7D659BDB" w14:textId="77777777" w:rsidR="000E32C3" w:rsidRPr="000E32C3" w:rsidRDefault="000E32C3" w:rsidP="000E32C3">
      <w:pPr>
        <w:numPr>
          <w:ilvl w:val="0"/>
          <w:numId w:val="17"/>
        </w:numPr>
      </w:pPr>
      <w:r w:rsidRPr="000E32C3">
        <w:t>Operates independently from operators</w:t>
      </w:r>
    </w:p>
    <w:p w14:paraId="3E192508" w14:textId="77777777" w:rsidR="000E32C3" w:rsidRPr="000E32C3" w:rsidRDefault="000E32C3" w:rsidP="000E32C3">
      <w:pPr>
        <w:numPr>
          <w:ilvl w:val="0"/>
          <w:numId w:val="17"/>
        </w:numPr>
      </w:pPr>
      <w:r w:rsidRPr="000E32C3">
        <w:t>Discloses methodology transparently</w:t>
      </w:r>
    </w:p>
    <w:p w14:paraId="65AE8323" w14:textId="77777777" w:rsidR="000E32C3" w:rsidRPr="000E32C3" w:rsidRDefault="000E32C3" w:rsidP="000E32C3">
      <w:pPr>
        <w:numPr>
          <w:ilvl w:val="0"/>
          <w:numId w:val="17"/>
        </w:numPr>
      </w:pPr>
      <w:r w:rsidRPr="000E32C3">
        <w:t>Maintains audit trails for scoring</w:t>
      </w:r>
    </w:p>
    <w:p w14:paraId="72E9D0BF" w14:textId="77777777" w:rsidR="000E32C3" w:rsidRPr="000E32C3" w:rsidRDefault="000E32C3" w:rsidP="000E32C3">
      <w:pPr>
        <w:numPr>
          <w:ilvl w:val="0"/>
          <w:numId w:val="17"/>
        </w:numPr>
      </w:pPr>
      <w:r w:rsidRPr="000E32C3">
        <w:t>Applies standardized review protocols</w:t>
      </w:r>
    </w:p>
    <w:p w14:paraId="0EFA12F8" w14:textId="77777777" w:rsidR="000E32C3" w:rsidRPr="000E32C3" w:rsidRDefault="000E32C3" w:rsidP="000E32C3">
      <w:pPr>
        <w:numPr>
          <w:ilvl w:val="0"/>
          <w:numId w:val="17"/>
        </w:numPr>
      </w:pPr>
      <w:r w:rsidRPr="000E32C3">
        <w:t>Separates research from capital deployment</w:t>
      </w:r>
    </w:p>
    <w:p w14:paraId="2AB67702" w14:textId="0A02E0B1" w:rsidR="000E32C3" w:rsidRPr="000E32C3" w:rsidRDefault="000E32C3" w:rsidP="000E32C3"/>
    <w:p w14:paraId="35004312" w14:textId="77777777" w:rsidR="000E32C3" w:rsidRPr="000E32C3" w:rsidRDefault="000E32C3" w:rsidP="000E32C3">
      <w:pPr>
        <w:pStyle w:val="Heading3"/>
        <w:rPr>
          <w:b/>
          <w:bCs/>
        </w:rPr>
      </w:pPr>
      <w:bookmarkStart w:id="11" w:name="_Toc222931542"/>
      <w:r w:rsidRPr="000E32C3">
        <w:rPr>
          <w:b/>
          <w:bCs/>
        </w:rPr>
        <w:t>X. Conclusion</w:t>
      </w:r>
      <w:bookmarkEnd w:id="11"/>
    </w:p>
    <w:p w14:paraId="757F3F52" w14:textId="77777777" w:rsidR="000E32C3" w:rsidRDefault="000E32C3" w:rsidP="000E32C3"/>
    <w:p w14:paraId="6619DDFB" w14:textId="635CAF5E" w:rsidR="000E32C3" w:rsidRPr="000E32C3" w:rsidRDefault="000E32C3" w:rsidP="000E32C3">
      <w:r w:rsidRPr="000E32C3">
        <w:t>Upstream energy investment is inherently complex due to subsurface uncertainty and commodity</w:t>
      </w:r>
      <w:r>
        <w:t xml:space="preserve"> </w:t>
      </w:r>
      <w:r w:rsidRPr="000E32C3">
        <w:t>volatility.</w:t>
      </w:r>
    </w:p>
    <w:p w14:paraId="50FB79F9" w14:textId="77777777" w:rsidR="000E32C3" w:rsidRDefault="000E32C3" w:rsidP="000E32C3"/>
    <w:p w14:paraId="0965DB3A" w14:textId="5CF8D475" w:rsidR="000E32C3" w:rsidRDefault="000E32C3" w:rsidP="000E32C3">
      <w:r w:rsidRPr="000E32C3">
        <w:t>TokenCap Advisors introduces a disciplined, institutional-grade framework that:</w:t>
      </w:r>
    </w:p>
    <w:p w14:paraId="77090316" w14:textId="77777777" w:rsidR="000E32C3" w:rsidRPr="000E32C3" w:rsidRDefault="000E32C3" w:rsidP="000E32C3"/>
    <w:p w14:paraId="2397E8E9" w14:textId="77777777" w:rsidR="000E32C3" w:rsidRPr="000E32C3" w:rsidRDefault="000E32C3" w:rsidP="000E32C3">
      <w:pPr>
        <w:numPr>
          <w:ilvl w:val="0"/>
          <w:numId w:val="18"/>
        </w:numPr>
      </w:pPr>
      <w:r w:rsidRPr="000E32C3">
        <w:t>Quantifies risk across the exploration-to-production lifecycle</w:t>
      </w:r>
    </w:p>
    <w:p w14:paraId="15CEE5E6" w14:textId="77777777" w:rsidR="000E32C3" w:rsidRPr="000E32C3" w:rsidRDefault="000E32C3" w:rsidP="000E32C3">
      <w:pPr>
        <w:numPr>
          <w:ilvl w:val="0"/>
          <w:numId w:val="18"/>
        </w:numPr>
      </w:pPr>
      <w:r w:rsidRPr="000E32C3">
        <w:t>Aligns capital with structured return expectations</w:t>
      </w:r>
    </w:p>
    <w:p w14:paraId="3D566552" w14:textId="77777777" w:rsidR="000E32C3" w:rsidRPr="000E32C3" w:rsidRDefault="000E32C3" w:rsidP="000E32C3">
      <w:pPr>
        <w:numPr>
          <w:ilvl w:val="0"/>
          <w:numId w:val="18"/>
        </w:numPr>
      </w:pPr>
      <w:r w:rsidRPr="000E32C3">
        <w:t>Standardizes upstream project evaluation</w:t>
      </w:r>
    </w:p>
    <w:p w14:paraId="3679E08B" w14:textId="77777777" w:rsidR="000E32C3" w:rsidRPr="000E32C3" w:rsidRDefault="000E32C3" w:rsidP="000E32C3">
      <w:pPr>
        <w:numPr>
          <w:ilvl w:val="0"/>
          <w:numId w:val="18"/>
        </w:numPr>
      </w:pPr>
      <w:r w:rsidRPr="000E32C3">
        <w:t>Enhances transparency in energy capital markets</w:t>
      </w:r>
    </w:p>
    <w:p w14:paraId="42D7698B" w14:textId="77777777" w:rsidR="000E32C3" w:rsidRDefault="000E32C3" w:rsidP="000E32C3"/>
    <w:p w14:paraId="7CA80198" w14:textId="246E9F06" w:rsidR="000E32C3" w:rsidRPr="000E32C3" w:rsidRDefault="000E32C3" w:rsidP="000E32C3">
      <w:r w:rsidRPr="000E32C3">
        <w:t>TCA represents a modernization of upstream due diligence — transforming geological uncertainty into structured financial intelligence.</w:t>
      </w:r>
    </w:p>
    <w:p w14:paraId="54B02A33" w14:textId="77777777" w:rsidR="00847373" w:rsidRDefault="00847373"/>
    <w:sectPr w:rsidR="00847373" w:rsidSect="003F265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7C456" w14:textId="77777777" w:rsidR="00C417E2" w:rsidRDefault="00C417E2" w:rsidP="00354BB5">
      <w:r>
        <w:separator/>
      </w:r>
    </w:p>
  </w:endnote>
  <w:endnote w:type="continuationSeparator" w:id="0">
    <w:p w14:paraId="626A440A" w14:textId="77777777" w:rsidR="00C417E2" w:rsidRDefault="00C417E2" w:rsidP="00354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DF62E" w14:textId="77777777" w:rsidR="00354BB5" w:rsidRDefault="00354B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B474D" w14:textId="77777777" w:rsidR="00354BB5" w:rsidRDefault="00354B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B42D4" w14:textId="77777777" w:rsidR="00354BB5" w:rsidRDefault="00354B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9CD5A" w14:textId="77777777" w:rsidR="00C417E2" w:rsidRDefault="00C417E2" w:rsidP="00354BB5">
      <w:r>
        <w:separator/>
      </w:r>
    </w:p>
  </w:footnote>
  <w:footnote w:type="continuationSeparator" w:id="0">
    <w:p w14:paraId="0F7FC04A" w14:textId="77777777" w:rsidR="00C417E2" w:rsidRDefault="00C417E2" w:rsidP="00354B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ACFA2" w14:textId="77777777" w:rsidR="00354BB5" w:rsidRDefault="00354B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3364008"/>
      <w:docPartObj>
        <w:docPartGallery w:val="Watermarks"/>
        <w:docPartUnique/>
      </w:docPartObj>
    </w:sdtPr>
    <w:sdtContent>
      <w:p w14:paraId="71E2696E" w14:textId="1675EDCC" w:rsidR="00354BB5" w:rsidRDefault="00000000">
        <w:pPr>
          <w:pStyle w:val="Header"/>
        </w:pPr>
        <w:r>
          <w:rPr>
            <w:noProof/>
          </w:rPr>
          <w:pict w14:anchorId="32FF865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7750D" w14:textId="77777777" w:rsidR="00354BB5" w:rsidRDefault="00354B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3F92"/>
    <w:multiLevelType w:val="multilevel"/>
    <w:tmpl w:val="E73A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F3375"/>
    <w:multiLevelType w:val="multilevel"/>
    <w:tmpl w:val="7D98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23AB4"/>
    <w:multiLevelType w:val="multilevel"/>
    <w:tmpl w:val="780C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D452A"/>
    <w:multiLevelType w:val="multilevel"/>
    <w:tmpl w:val="43BC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25097"/>
    <w:multiLevelType w:val="multilevel"/>
    <w:tmpl w:val="DD1C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958A3"/>
    <w:multiLevelType w:val="multilevel"/>
    <w:tmpl w:val="46EC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B3269"/>
    <w:multiLevelType w:val="multilevel"/>
    <w:tmpl w:val="2DB4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16C59"/>
    <w:multiLevelType w:val="multilevel"/>
    <w:tmpl w:val="B9D2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7636A"/>
    <w:multiLevelType w:val="multilevel"/>
    <w:tmpl w:val="5852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93663"/>
    <w:multiLevelType w:val="multilevel"/>
    <w:tmpl w:val="8012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F62DE"/>
    <w:multiLevelType w:val="multilevel"/>
    <w:tmpl w:val="409E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100A0"/>
    <w:multiLevelType w:val="multilevel"/>
    <w:tmpl w:val="6C6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F4D63"/>
    <w:multiLevelType w:val="multilevel"/>
    <w:tmpl w:val="2DFA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B21B3"/>
    <w:multiLevelType w:val="multilevel"/>
    <w:tmpl w:val="34B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81F19"/>
    <w:multiLevelType w:val="multilevel"/>
    <w:tmpl w:val="81B8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1430F"/>
    <w:multiLevelType w:val="multilevel"/>
    <w:tmpl w:val="9816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92629"/>
    <w:multiLevelType w:val="multilevel"/>
    <w:tmpl w:val="0D1E7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B05A04"/>
    <w:multiLevelType w:val="multilevel"/>
    <w:tmpl w:val="4754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FF6BFE"/>
    <w:multiLevelType w:val="multilevel"/>
    <w:tmpl w:val="64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084154">
    <w:abstractNumId w:val="11"/>
  </w:num>
  <w:num w:numId="2" w16cid:durableId="1381132248">
    <w:abstractNumId w:val="6"/>
  </w:num>
  <w:num w:numId="3" w16cid:durableId="912397718">
    <w:abstractNumId w:val="8"/>
  </w:num>
  <w:num w:numId="4" w16cid:durableId="686754617">
    <w:abstractNumId w:val="14"/>
  </w:num>
  <w:num w:numId="5" w16cid:durableId="478696861">
    <w:abstractNumId w:val="10"/>
  </w:num>
  <w:num w:numId="6" w16cid:durableId="1900553005">
    <w:abstractNumId w:val="2"/>
  </w:num>
  <w:num w:numId="7" w16cid:durableId="1275670171">
    <w:abstractNumId w:val="9"/>
  </w:num>
  <w:num w:numId="8" w16cid:durableId="788279585">
    <w:abstractNumId w:val="1"/>
  </w:num>
  <w:num w:numId="9" w16cid:durableId="603342519">
    <w:abstractNumId w:val="16"/>
  </w:num>
  <w:num w:numId="10" w16cid:durableId="1062677258">
    <w:abstractNumId w:val="3"/>
  </w:num>
  <w:num w:numId="11" w16cid:durableId="1563830591">
    <w:abstractNumId w:val="15"/>
  </w:num>
  <w:num w:numId="12" w16cid:durableId="387266447">
    <w:abstractNumId w:val="0"/>
  </w:num>
  <w:num w:numId="13" w16cid:durableId="2108842815">
    <w:abstractNumId w:val="4"/>
  </w:num>
  <w:num w:numId="14" w16cid:durableId="1210722015">
    <w:abstractNumId w:val="5"/>
  </w:num>
  <w:num w:numId="15" w16cid:durableId="444691809">
    <w:abstractNumId w:val="18"/>
  </w:num>
  <w:num w:numId="16" w16cid:durableId="1707488446">
    <w:abstractNumId w:val="13"/>
  </w:num>
  <w:num w:numId="17" w16cid:durableId="1154642502">
    <w:abstractNumId w:val="7"/>
  </w:num>
  <w:num w:numId="18" w16cid:durableId="1159033122">
    <w:abstractNumId w:val="12"/>
  </w:num>
  <w:num w:numId="19" w16cid:durableId="1966978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2C3"/>
    <w:rsid w:val="00022C51"/>
    <w:rsid w:val="00022EB3"/>
    <w:rsid w:val="00037D75"/>
    <w:rsid w:val="00067220"/>
    <w:rsid w:val="000805ED"/>
    <w:rsid w:val="000D2DAE"/>
    <w:rsid w:val="000E2829"/>
    <w:rsid w:val="000E32C3"/>
    <w:rsid w:val="00136716"/>
    <w:rsid w:val="00156ED7"/>
    <w:rsid w:val="0018223F"/>
    <w:rsid w:val="001A7B8D"/>
    <w:rsid w:val="001A7C84"/>
    <w:rsid w:val="001D0A6E"/>
    <w:rsid w:val="001F50E0"/>
    <w:rsid w:val="00206D4B"/>
    <w:rsid w:val="00215A67"/>
    <w:rsid w:val="00252AC1"/>
    <w:rsid w:val="00261D9A"/>
    <w:rsid w:val="00262A53"/>
    <w:rsid w:val="00263229"/>
    <w:rsid w:val="00266503"/>
    <w:rsid w:val="002816A0"/>
    <w:rsid w:val="002C0A3A"/>
    <w:rsid w:val="002C146E"/>
    <w:rsid w:val="00306C3C"/>
    <w:rsid w:val="00310889"/>
    <w:rsid w:val="0033115C"/>
    <w:rsid w:val="00354BB5"/>
    <w:rsid w:val="00355C27"/>
    <w:rsid w:val="00357AD1"/>
    <w:rsid w:val="00360032"/>
    <w:rsid w:val="00362267"/>
    <w:rsid w:val="0037119D"/>
    <w:rsid w:val="00385AAF"/>
    <w:rsid w:val="003A0097"/>
    <w:rsid w:val="003C6829"/>
    <w:rsid w:val="003D1D45"/>
    <w:rsid w:val="003E16B1"/>
    <w:rsid w:val="003E76EF"/>
    <w:rsid w:val="003F08C5"/>
    <w:rsid w:val="003F265B"/>
    <w:rsid w:val="00443232"/>
    <w:rsid w:val="00446AB0"/>
    <w:rsid w:val="004707B4"/>
    <w:rsid w:val="00474368"/>
    <w:rsid w:val="004751A5"/>
    <w:rsid w:val="00477432"/>
    <w:rsid w:val="00485758"/>
    <w:rsid w:val="004925CA"/>
    <w:rsid w:val="00492B4F"/>
    <w:rsid w:val="004B41A1"/>
    <w:rsid w:val="004B43F3"/>
    <w:rsid w:val="004D600D"/>
    <w:rsid w:val="004F110B"/>
    <w:rsid w:val="0051036B"/>
    <w:rsid w:val="005136E0"/>
    <w:rsid w:val="00522C83"/>
    <w:rsid w:val="00567E72"/>
    <w:rsid w:val="00570048"/>
    <w:rsid w:val="005702C1"/>
    <w:rsid w:val="00574252"/>
    <w:rsid w:val="005918DD"/>
    <w:rsid w:val="005D230B"/>
    <w:rsid w:val="005D7927"/>
    <w:rsid w:val="00600985"/>
    <w:rsid w:val="00605738"/>
    <w:rsid w:val="006105AB"/>
    <w:rsid w:val="00685D3D"/>
    <w:rsid w:val="006861DD"/>
    <w:rsid w:val="006B14F0"/>
    <w:rsid w:val="006C7491"/>
    <w:rsid w:val="006F6B80"/>
    <w:rsid w:val="0071765B"/>
    <w:rsid w:val="00717E82"/>
    <w:rsid w:val="00722360"/>
    <w:rsid w:val="00732BD0"/>
    <w:rsid w:val="00734DFA"/>
    <w:rsid w:val="0075108B"/>
    <w:rsid w:val="00764FB9"/>
    <w:rsid w:val="00772870"/>
    <w:rsid w:val="007771D8"/>
    <w:rsid w:val="00793473"/>
    <w:rsid w:val="007A17B9"/>
    <w:rsid w:val="00847373"/>
    <w:rsid w:val="00877186"/>
    <w:rsid w:val="0088346C"/>
    <w:rsid w:val="008D1B83"/>
    <w:rsid w:val="00901562"/>
    <w:rsid w:val="00903D38"/>
    <w:rsid w:val="00917C0D"/>
    <w:rsid w:val="00920D84"/>
    <w:rsid w:val="00935557"/>
    <w:rsid w:val="00942B20"/>
    <w:rsid w:val="009B055B"/>
    <w:rsid w:val="009C0FBA"/>
    <w:rsid w:val="009C466C"/>
    <w:rsid w:val="009E3491"/>
    <w:rsid w:val="00A3558B"/>
    <w:rsid w:val="00A534AA"/>
    <w:rsid w:val="00A57762"/>
    <w:rsid w:val="00A63E00"/>
    <w:rsid w:val="00A83537"/>
    <w:rsid w:val="00A95BAC"/>
    <w:rsid w:val="00AA1CC3"/>
    <w:rsid w:val="00AE0EEE"/>
    <w:rsid w:val="00AE27E4"/>
    <w:rsid w:val="00B05694"/>
    <w:rsid w:val="00B05B82"/>
    <w:rsid w:val="00B50D1C"/>
    <w:rsid w:val="00B66EEE"/>
    <w:rsid w:val="00B70A43"/>
    <w:rsid w:val="00B714B9"/>
    <w:rsid w:val="00B97718"/>
    <w:rsid w:val="00BC1819"/>
    <w:rsid w:val="00BF1598"/>
    <w:rsid w:val="00C17731"/>
    <w:rsid w:val="00C23A47"/>
    <w:rsid w:val="00C240F0"/>
    <w:rsid w:val="00C27385"/>
    <w:rsid w:val="00C417E2"/>
    <w:rsid w:val="00C445ED"/>
    <w:rsid w:val="00C7200D"/>
    <w:rsid w:val="00CC318D"/>
    <w:rsid w:val="00CD0DED"/>
    <w:rsid w:val="00CD1BC2"/>
    <w:rsid w:val="00D02609"/>
    <w:rsid w:val="00D10F14"/>
    <w:rsid w:val="00D5234D"/>
    <w:rsid w:val="00D67D8C"/>
    <w:rsid w:val="00D81C7A"/>
    <w:rsid w:val="00D82B5C"/>
    <w:rsid w:val="00DB0588"/>
    <w:rsid w:val="00DD4707"/>
    <w:rsid w:val="00DE436C"/>
    <w:rsid w:val="00DF2EF2"/>
    <w:rsid w:val="00E017EA"/>
    <w:rsid w:val="00E17E6B"/>
    <w:rsid w:val="00E65F6C"/>
    <w:rsid w:val="00E7308D"/>
    <w:rsid w:val="00E77907"/>
    <w:rsid w:val="00E838AC"/>
    <w:rsid w:val="00E8397C"/>
    <w:rsid w:val="00EA1968"/>
    <w:rsid w:val="00EA6D85"/>
    <w:rsid w:val="00ED0BA0"/>
    <w:rsid w:val="00EF104F"/>
    <w:rsid w:val="00EF7BFF"/>
    <w:rsid w:val="00F015DD"/>
    <w:rsid w:val="00F25714"/>
    <w:rsid w:val="00F46091"/>
    <w:rsid w:val="00F46BC2"/>
    <w:rsid w:val="00F57B58"/>
    <w:rsid w:val="00F83718"/>
    <w:rsid w:val="00FD2217"/>
    <w:rsid w:val="00FE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799532"/>
  <w15:chartTrackingRefBased/>
  <w15:docId w15:val="{5FF13462-E9AC-4C0C-8B62-3342D0636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3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3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2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2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2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2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3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3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3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2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2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2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2C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E32C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E32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32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E32C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E32C3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3F265B"/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F265B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54B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4BB5"/>
  </w:style>
  <w:style w:type="paragraph" w:styleId="Footer">
    <w:name w:val="footer"/>
    <w:basedOn w:val="Normal"/>
    <w:link w:val="FooterChar"/>
    <w:uiPriority w:val="99"/>
    <w:unhideWhenUsed/>
    <w:rsid w:val="00354B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4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ADDDCE-1D63-4EAB-8C55-85EA5B10D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1027</Words>
  <Characters>6872</Characters>
  <Application>Microsoft Office Word</Application>
  <DocSecurity>0</DocSecurity>
  <Lines>343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Structured Risk Intelligence Framework</vt:lpstr>
    </vt:vector>
  </TitlesOfParts>
  <Company>TokenCap Advisors LLC</Company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Structured Risk Intelligence Framework: E&amp;P</dc:title>
  <dc:subject/>
  <dc:creator>Michael Berry</dc:creator>
  <cp:keywords/>
  <dc:description/>
  <cp:lastModifiedBy>Michael Berry</cp:lastModifiedBy>
  <cp:revision>3</cp:revision>
  <dcterms:created xsi:type="dcterms:W3CDTF">2026-03-19T18:09:00Z</dcterms:created>
  <dcterms:modified xsi:type="dcterms:W3CDTF">2026-03-20T12:23:00Z</dcterms:modified>
</cp:coreProperties>
</file>