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C8CE" w14:textId="77777777" w:rsidR="00617F29" w:rsidRDefault="00000000">
      <w:pPr>
        <w:spacing w:after="200" w:line="300" w:lineRule="auto"/>
      </w:pPr>
      <w:r>
        <w:rPr>
          <w:i/>
          <w:iCs/>
          <w:color w:val="595959"/>
        </w:rPr>
        <w:t>TCA-MEMO-2026-RSK-SUMMARY-001 (Rev. 1</w:t>
      </w:r>
      <w:proofErr w:type="gramStart"/>
      <w:r>
        <w:rPr>
          <w:i/>
          <w:iCs/>
          <w:color w:val="595959"/>
        </w:rPr>
        <w:t>)  |</w:t>
      </w:r>
      <w:proofErr w:type="gramEnd"/>
      <w:r>
        <w:rPr>
          <w:i/>
          <w:iCs/>
          <w:color w:val="595959"/>
        </w:rPr>
        <w:t xml:space="preserve">  CONFIDENTIAL</w:t>
      </w:r>
    </w:p>
    <w:p w14:paraId="1E008385" w14:textId="77777777" w:rsidR="00617F29" w:rsidRDefault="00000000">
      <w:pPr>
        <w:spacing w:after="80" w:line="300" w:lineRule="auto"/>
        <w:jc w:val="center"/>
      </w:pPr>
      <w:r>
        <w:rPr>
          <w:b/>
          <w:bCs/>
          <w:color w:val="000000"/>
          <w:sz w:val="28"/>
          <w:szCs w:val="28"/>
        </w:rPr>
        <w:t>TOKENCAP ADVISORS LLC</w:t>
      </w:r>
    </w:p>
    <w:p w14:paraId="14C24263" w14:textId="77777777" w:rsidR="00617F29" w:rsidRDefault="00000000">
      <w:pPr>
        <w:spacing w:after="240" w:line="300" w:lineRule="auto"/>
        <w:jc w:val="center"/>
      </w:pPr>
      <w:r>
        <w:rPr>
          <w:i/>
          <w:iCs/>
          <w:color w:val="595959"/>
        </w:rPr>
        <w:t>Internal Technical Memorandum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617F29" w14:paraId="73D00997" w14:textId="77777777">
        <w:tblPrEx>
          <w:tblCellMar>
            <w:top w:w="0" w:type="dxa"/>
            <w:bottom w:w="0" w:type="dxa"/>
          </w:tblCellMar>
        </w:tblPrEx>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40" w:type="dxa"/>
              <w:bottom w:w="100" w:type="dxa"/>
              <w:right w:w="140" w:type="dxa"/>
            </w:tcMar>
          </w:tcPr>
          <w:p w14:paraId="7B7984DC" w14:textId="77777777" w:rsidR="00617F29" w:rsidRDefault="00000000">
            <w:pPr>
              <w:spacing w:before="40" w:after="40" w:line="280" w:lineRule="auto"/>
            </w:pPr>
            <w:r>
              <w:rPr>
                <w:b/>
                <w:bCs/>
                <w:color w:val="000000"/>
                <w:sz w:val="20"/>
                <w:szCs w:val="20"/>
              </w:rPr>
              <w:t>TO:</w:t>
            </w:r>
          </w:p>
        </w:tc>
        <w:tc>
          <w:tcPr>
            <w:tcW w:w="76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FEAF543" w14:textId="77777777" w:rsidR="00617F29" w:rsidRDefault="00000000">
            <w:pPr>
              <w:spacing w:before="40" w:after="40" w:line="280" w:lineRule="auto"/>
            </w:pPr>
            <w:r>
              <w:rPr>
                <w:color w:val="000000"/>
                <w:sz w:val="20"/>
                <w:szCs w:val="20"/>
              </w:rPr>
              <w:t xml:space="preserve">Stan Hua, Senior Technology Advisor; </w:t>
            </w:r>
            <w:proofErr w:type="spellStart"/>
            <w:r>
              <w:rPr>
                <w:color w:val="000000"/>
                <w:sz w:val="20"/>
                <w:szCs w:val="20"/>
              </w:rPr>
              <w:t>Ganlin</w:t>
            </w:r>
            <w:proofErr w:type="spellEnd"/>
            <w:r>
              <w:rPr>
                <w:color w:val="000000"/>
                <w:sz w:val="20"/>
                <w:szCs w:val="20"/>
              </w:rPr>
              <w:t>; Ella</w:t>
            </w:r>
          </w:p>
        </w:tc>
      </w:tr>
      <w:tr w:rsidR="00617F29" w14:paraId="425C31CE" w14:textId="77777777">
        <w:tblPrEx>
          <w:tblCellMar>
            <w:top w:w="0" w:type="dxa"/>
            <w:bottom w:w="0" w:type="dxa"/>
          </w:tblCellMar>
        </w:tblPrEx>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40" w:type="dxa"/>
              <w:bottom w:w="100" w:type="dxa"/>
              <w:right w:w="140" w:type="dxa"/>
            </w:tcMar>
          </w:tcPr>
          <w:p w14:paraId="0F0CE89C" w14:textId="77777777" w:rsidR="00617F29" w:rsidRDefault="00000000">
            <w:pPr>
              <w:spacing w:before="40" w:after="40" w:line="280" w:lineRule="auto"/>
            </w:pPr>
            <w:r>
              <w:rPr>
                <w:b/>
                <w:bCs/>
                <w:color w:val="000000"/>
                <w:sz w:val="20"/>
                <w:szCs w:val="20"/>
              </w:rPr>
              <w:t>FROM:</w:t>
            </w:r>
          </w:p>
        </w:tc>
        <w:tc>
          <w:tcPr>
            <w:tcW w:w="76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D445ACC" w14:textId="77777777" w:rsidR="00617F29" w:rsidRDefault="00000000">
            <w:pPr>
              <w:spacing w:before="40" w:after="40" w:line="280" w:lineRule="auto"/>
            </w:pPr>
            <w:r>
              <w:rPr>
                <w:color w:val="000000"/>
                <w:sz w:val="20"/>
                <w:szCs w:val="20"/>
              </w:rPr>
              <w:t>MRB</w:t>
            </w:r>
          </w:p>
        </w:tc>
      </w:tr>
      <w:tr w:rsidR="00617F29" w14:paraId="16A7AF15" w14:textId="77777777">
        <w:tblPrEx>
          <w:tblCellMar>
            <w:top w:w="0" w:type="dxa"/>
            <w:bottom w:w="0" w:type="dxa"/>
          </w:tblCellMar>
        </w:tblPrEx>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40" w:type="dxa"/>
              <w:bottom w:w="100" w:type="dxa"/>
              <w:right w:w="140" w:type="dxa"/>
            </w:tcMar>
          </w:tcPr>
          <w:p w14:paraId="65EF82AD" w14:textId="77777777" w:rsidR="00617F29" w:rsidRDefault="00000000">
            <w:pPr>
              <w:spacing w:before="40" w:after="40" w:line="280" w:lineRule="auto"/>
            </w:pPr>
            <w:r>
              <w:rPr>
                <w:b/>
                <w:bCs/>
                <w:color w:val="000000"/>
                <w:sz w:val="20"/>
                <w:szCs w:val="20"/>
              </w:rPr>
              <w:t>DATE:</w:t>
            </w:r>
          </w:p>
        </w:tc>
        <w:tc>
          <w:tcPr>
            <w:tcW w:w="76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307514B2" w14:textId="77777777" w:rsidR="00617F29" w:rsidRDefault="00000000">
            <w:pPr>
              <w:spacing w:before="40" w:after="40" w:line="280" w:lineRule="auto"/>
            </w:pPr>
            <w:r>
              <w:rPr>
                <w:color w:val="000000"/>
                <w:sz w:val="20"/>
                <w:szCs w:val="20"/>
              </w:rPr>
              <w:t>May 2026</w:t>
            </w:r>
          </w:p>
        </w:tc>
      </w:tr>
      <w:tr w:rsidR="00617F29" w14:paraId="1AE14DE9" w14:textId="77777777">
        <w:tblPrEx>
          <w:tblCellMar>
            <w:top w:w="0" w:type="dxa"/>
            <w:bottom w:w="0" w:type="dxa"/>
          </w:tblCellMar>
        </w:tblPrEx>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40" w:type="dxa"/>
              <w:bottom w:w="100" w:type="dxa"/>
              <w:right w:w="140" w:type="dxa"/>
            </w:tcMar>
          </w:tcPr>
          <w:p w14:paraId="39F477DE" w14:textId="77777777" w:rsidR="00617F29" w:rsidRDefault="00000000">
            <w:pPr>
              <w:spacing w:before="40" w:after="40" w:line="280" w:lineRule="auto"/>
            </w:pPr>
            <w:r>
              <w:rPr>
                <w:b/>
                <w:bCs/>
                <w:color w:val="000000"/>
                <w:sz w:val="20"/>
                <w:szCs w:val="20"/>
              </w:rPr>
              <w:t>RE:</w:t>
            </w:r>
          </w:p>
        </w:tc>
        <w:tc>
          <w:tcPr>
            <w:tcW w:w="76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2A7652C" w14:textId="77777777" w:rsidR="00617F29" w:rsidRDefault="00000000">
            <w:pPr>
              <w:spacing w:before="40" w:after="40" w:line="280" w:lineRule="auto"/>
            </w:pPr>
            <w:r>
              <w:rPr>
                <w:color w:val="000000"/>
                <w:sz w:val="20"/>
                <w:szCs w:val="20"/>
              </w:rPr>
              <w:t>TCA Risk Engine — System Overview, Construction, and Role in the TCA / 2678 Business Model</w:t>
            </w:r>
          </w:p>
        </w:tc>
      </w:tr>
      <w:tr w:rsidR="00617F29" w14:paraId="1CA5BA19" w14:textId="77777777">
        <w:tblPrEx>
          <w:tblCellMar>
            <w:top w:w="0" w:type="dxa"/>
            <w:bottom w:w="0" w:type="dxa"/>
          </w:tblCellMar>
        </w:tblPrEx>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40" w:type="dxa"/>
              <w:bottom w:w="100" w:type="dxa"/>
              <w:right w:w="140" w:type="dxa"/>
            </w:tcMar>
          </w:tcPr>
          <w:p w14:paraId="5076A01C" w14:textId="77777777" w:rsidR="00617F29" w:rsidRDefault="00000000">
            <w:pPr>
              <w:spacing w:before="40" w:after="40" w:line="280" w:lineRule="auto"/>
            </w:pPr>
            <w:r>
              <w:rPr>
                <w:b/>
                <w:bCs/>
                <w:color w:val="000000"/>
                <w:sz w:val="20"/>
                <w:szCs w:val="20"/>
              </w:rPr>
              <w:t>DOC ID:</w:t>
            </w:r>
          </w:p>
        </w:tc>
        <w:tc>
          <w:tcPr>
            <w:tcW w:w="76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1E94269" w14:textId="77777777" w:rsidR="00617F29" w:rsidRDefault="00000000">
            <w:pPr>
              <w:spacing w:before="40" w:after="40" w:line="280" w:lineRule="auto"/>
            </w:pPr>
            <w:r>
              <w:rPr>
                <w:color w:val="000000"/>
                <w:sz w:val="20"/>
                <w:szCs w:val="20"/>
              </w:rPr>
              <w:t>TCA-MEMO-2026-RSK-SUMMARY-</w:t>
            </w:r>
            <w:proofErr w:type="gramStart"/>
            <w:r>
              <w:rPr>
                <w:color w:val="000000"/>
                <w:sz w:val="20"/>
                <w:szCs w:val="20"/>
              </w:rPr>
              <w:t>001  (</w:t>
            </w:r>
            <w:proofErr w:type="gramEnd"/>
            <w:r>
              <w:rPr>
                <w:color w:val="000000"/>
                <w:sz w:val="20"/>
                <w:szCs w:val="20"/>
              </w:rPr>
              <w:t>Rev. 1 — Multi-Sector)</w:t>
            </w:r>
          </w:p>
        </w:tc>
      </w:tr>
      <w:tr w:rsidR="00617F29" w14:paraId="6668675E" w14:textId="77777777">
        <w:tblPrEx>
          <w:tblCellMar>
            <w:top w:w="0" w:type="dxa"/>
            <w:bottom w:w="0" w:type="dxa"/>
          </w:tblCellMar>
        </w:tblPrEx>
        <w:tc>
          <w:tcPr>
            <w:tcW w:w="1700" w:type="dxa"/>
            <w:tcBorders>
              <w:top w:val="single" w:sz="4" w:space="0" w:color="D0D0D0"/>
              <w:left w:val="single" w:sz="4" w:space="0" w:color="D0D0D0"/>
              <w:bottom w:val="single" w:sz="4" w:space="0" w:color="D0D0D0"/>
              <w:right w:val="single" w:sz="4" w:space="0" w:color="D0D0D0"/>
            </w:tcBorders>
            <w:shd w:val="clear" w:color="auto" w:fill="F2F2F2"/>
            <w:tcMar>
              <w:top w:w="100" w:type="dxa"/>
              <w:left w:w="140" w:type="dxa"/>
              <w:bottom w:w="100" w:type="dxa"/>
              <w:right w:w="140" w:type="dxa"/>
            </w:tcMar>
          </w:tcPr>
          <w:p w14:paraId="1CE0FF9D" w14:textId="77777777" w:rsidR="00617F29" w:rsidRDefault="00000000">
            <w:pPr>
              <w:spacing w:before="40" w:after="40" w:line="280" w:lineRule="auto"/>
            </w:pPr>
            <w:r>
              <w:rPr>
                <w:b/>
                <w:bCs/>
                <w:color w:val="000000"/>
                <w:sz w:val="20"/>
                <w:szCs w:val="20"/>
              </w:rPr>
              <w:t>REF:</w:t>
            </w:r>
          </w:p>
        </w:tc>
        <w:tc>
          <w:tcPr>
            <w:tcW w:w="76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EBAFC27" w14:textId="77777777" w:rsidR="00617F29" w:rsidRDefault="00000000">
            <w:pPr>
              <w:spacing w:before="40" w:after="40" w:line="280" w:lineRule="auto"/>
            </w:pPr>
            <w:r>
              <w:rPr>
                <w:color w:val="000000"/>
                <w:sz w:val="20"/>
                <w:szCs w:val="20"/>
              </w:rPr>
              <w:t>TCA-UNIV-001-v1.0 (Universal Risk Framework); TCA-EP-001-v1.0; TCA-REN-001-v1.0; TCA-RE-001-v1.0; TCA-TECH-001-v1.0; TCA-WORKPLAN-2026-RSK-001 (Risk Engine Work Plan); TCA-MEMO-2026-RI-SUMMARY-001 (companion R&amp;I Reference Engine memo)</w:t>
            </w:r>
          </w:p>
        </w:tc>
      </w:tr>
    </w:tbl>
    <w:p w14:paraId="4E525D16" w14:textId="77777777" w:rsidR="00617F29" w:rsidRDefault="00617F29">
      <w:pPr>
        <w:spacing w:after="200" w:line="300" w:lineRule="auto"/>
      </w:pPr>
    </w:p>
    <w:p w14:paraId="48C9E9F6" w14:textId="77777777" w:rsidR="00617F29" w:rsidRDefault="00000000">
      <w:pPr>
        <w:pStyle w:val="Heading1"/>
        <w:spacing w:before="360" w:after="180"/>
      </w:pPr>
      <w:r>
        <w:rPr>
          <w:b/>
          <w:bCs/>
          <w:color w:val="1F3864"/>
          <w:sz w:val="30"/>
          <w:szCs w:val="30"/>
        </w:rPr>
        <w:t>1</w:t>
      </w:r>
      <w:proofErr w:type="gramStart"/>
      <w:r>
        <w:rPr>
          <w:b/>
          <w:bCs/>
          <w:color w:val="1F3864"/>
          <w:sz w:val="30"/>
          <w:szCs w:val="30"/>
        </w:rPr>
        <w:t>.  Purpose</w:t>
      </w:r>
      <w:proofErr w:type="gramEnd"/>
    </w:p>
    <w:p w14:paraId="05215B76" w14:textId="77777777" w:rsidR="00617F29" w:rsidRDefault="00000000">
      <w:pPr>
        <w:spacing w:after="120" w:line="300" w:lineRule="auto"/>
      </w:pPr>
      <w:r>
        <w:rPr>
          <w:color w:val="000000"/>
        </w:rPr>
        <w:t>This memorandum provides a consolidated, audience-neutral summary of the TCA Risk Engine: what it is, what it does, how it is constructed, and the role it plays in both TokenCap Advisors’ operating workflow and the broader 2678 Holdings business model.</w:t>
      </w:r>
    </w:p>
    <w:p w14:paraId="6BBE7037" w14:textId="77777777" w:rsidR="00617F29" w:rsidRDefault="00000000">
      <w:pPr>
        <w:spacing w:after="120" w:line="300" w:lineRule="auto"/>
      </w:pPr>
      <w:r>
        <w:rPr>
          <w:color w:val="000000"/>
        </w:rPr>
        <w:t>It is intended as an onboarding and orientation document for any team member, advisor, contractor, or counterparty who requires a single-document understanding of the system. It is a companion to TCA-MEMO-2026-RI-SUMMARY-001 (R&amp;I Reference Engine) and does not supersede the source documents (TCA-WORKPLAN-2026-RSK-001 and the active Universal and vertical risk frameworks); for design or build decisions, consult those documents directly.</w:t>
      </w:r>
    </w:p>
    <w:p w14:paraId="03E3F096" w14:textId="77777777" w:rsidR="00617F29" w:rsidRDefault="00000000">
      <w:pPr>
        <w:pStyle w:val="Heading1"/>
        <w:spacing w:before="360" w:after="180"/>
      </w:pPr>
      <w:r>
        <w:rPr>
          <w:b/>
          <w:bCs/>
          <w:color w:val="1F3864"/>
          <w:sz w:val="30"/>
          <w:szCs w:val="30"/>
        </w:rPr>
        <w:t>2</w:t>
      </w:r>
      <w:proofErr w:type="gramStart"/>
      <w:r>
        <w:rPr>
          <w:b/>
          <w:bCs/>
          <w:color w:val="1F3864"/>
          <w:sz w:val="30"/>
          <w:szCs w:val="30"/>
        </w:rPr>
        <w:t>.  What</w:t>
      </w:r>
      <w:proofErr w:type="gramEnd"/>
      <w:r>
        <w:rPr>
          <w:b/>
          <w:bCs/>
          <w:color w:val="1F3864"/>
          <w:sz w:val="30"/>
          <w:szCs w:val="30"/>
        </w:rPr>
        <w:t xml:space="preserve"> the Risk Engine Is</w:t>
      </w:r>
    </w:p>
    <w:p w14:paraId="5A914EAE" w14:textId="77777777" w:rsidR="00617F29" w:rsidRDefault="00000000">
      <w:pPr>
        <w:spacing w:after="120" w:line="300" w:lineRule="auto"/>
      </w:pPr>
      <w:r>
        <w:rPr>
          <w:color w:val="000000"/>
        </w:rPr>
        <w:t xml:space="preserve">The TCA Risk Engine is a governed, web-based risk assessment platform — the operational core of TokenCap Advisors’ Risk Function. It implements the five-domain, stage-sensitive methodology defined in the TCA Universal Risk Framework (TCA-UNIV-001-v1.0) and </w:t>
      </w:r>
      <w:proofErr w:type="spellStart"/>
      <w:r>
        <w:rPr>
          <w:color w:val="000000"/>
        </w:rPr>
        <w:t>operationalises</w:t>
      </w:r>
      <w:proofErr w:type="spellEnd"/>
      <w:r>
        <w:rPr>
          <w:color w:val="000000"/>
        </w:rPr>
        <w:t xml:space="preserve"> it across every asset class TCA evaluates, using the four vertical frameworks (TCA-EP-001, TCA-REN-001, TCA-RE-001, TCA-TECH-001) as the asset-class-specific applications of the Universal taxonomy.</w:t>
      </w:r>
    </w:p>
    <w:p w14:paraId="13845F27" w14:textId="77777777" w:rsidR="00617F29" w:rsidRDefault="00000000">
      <w:pPr>
        <w:spacing w:after="120" w:line="300" w:lineRule="auto"/>
      </w:pPr>
      <w:r>
        <w:rPr>
          <w:color w:val="000000"/>
        </w:rPr>
        <w:t>Three characteristics define the system:</w:t>
      </w:r>
    </w:p>
    <w:p w14:paraId="58430AE5" w14:textId="77777777" w:rsidR="00617F29" w:rsidRDefault="00000000">
      <w:pPr>
        <w:pStyle w:val="ListParagraph"/>
        <w:numPr>
          <w:ilvl w:val="0"/>
          <w:numId w:val="2"/>
        </w:numPr>
        <w:spacing w:before="60" w:after="120" w:line="300" w:lineRule="auto"/>
      </w:pPr>
      <w:r>
        <w:rPr>
          <w:b/>
          <w:bCs/>
          <w:color w:val="000000"/>
        </w:rPr>
        <w:lastRenderedPageBreak/>
        <w:t xml:space="preserve">Framework-faithful, not freelance. </w:t>
      </w:r>
      <w:r>
        <w:rPr>
          <w:color w:val="000000"/>
        </w:rPr>
        <w:t>The Engine encodes the canonical five-domain taxonomy (FR / TE / RE / CF / IM), the asset-class translation matrix, stage-sensitive domain weights, the scoring mathematics, and the TCA composite grading scale (TCA-A through TCA-S) exactly as defined in TCA-UNIV-001-v1.0 and its conforming vertical frameworks. Methodology drift is structurally impossible — analysts cannot override weights or grade thresholds without CRO approval and version stamping.</w:t>
      </w:r>
    </w:p>
    <w:p w14:paraId="1F05E815" w14:textId="77777777" w:rsidR="00617F29" w:rsidRDefault="00000000">
      <w:pPr>
        <w:pStyle w:val="ListParagraph"/>
        <w:numPr>
          <w:ilvl w:val="0"/>
          <w:numId w:val="2"/>
        </w:numPr>
        <w:spacing w:before="60" w:after="120" w:line="300" w:lineRule="auto"/>
      </w:pPr>
      <w:proofErr w:type="gramStart"/>
      <w:r>
        <w:rPr>
          <w:b/>
          <w:bCs/>
          <w:color w:val="000000"/>
        </w:rPr>
        <w:t>Independent</w:t>
      </w:r>
      <w:proofErr w:type="gramEnd"/>
      <w:r>
        <w:rPr>
          <w:b/>
          <w:bCs/>
          <w:color w:val="000000"/>
        </w:rPr>
        <w:t xml:space="preserve">, not advisory. </w:t>
      </w:r>
      <w:r>
        <w:rPr>
          <w:color w:val="000000"/>
        </w:rPr>
        <w:t>The Risk Function is structurally segregated from the R&amp;I Function by design. R&amp;I produces the evaluative record (informed by the Reference Engine); Risk applies independent scoring governance through the Risk Engine. The Engine enforces role-based separation at the application layer: no analyst may approve their own assessment, and no R&amp;I member may modify a scored record. This separation is a regulatory prerequisite under the Investment Advisers Act, not a stylistic preference.</w:t>
      </w:r>
    </w:p>
    <w:p w14:paraId="40A52EE4" w14:textId="77777777" w:rsidR="00617F29" w:rsidRDefault="00000000">
      <w:pPr>
        <w:pStyle w:val="ListParagraph"/>
        <w:numPr>
          <w:ilvl w:val="0"/>
          <w:numId w:val="2"/>
        </w:numPr>
        <w:spacing w:before="60" w:after="120" w:line="300" w:lineRule="auto"/>
      </w:pPr>
      <w:r>
        <w:rPr>
          <w:b/>
          <w:bCs/>
          <w:color w:val="000000"/>
        </w:rPr>
        <w:t xml:space="preserve">Auditable by default. </w:t>
      </w:r>
      <w:r>
        <w:rPr>
          <w:color w:val="000000"/>
        </w:rPr>
        <w:t>Every scoring input, edit, submission, and approval is captured in an immutable audit log with user identity and timestamp. The audit trail is the system’s primary regulatory deliverable. The Engine is the authoritative books-and-records artifact for all TCA risk assessments under SEC Rule 204-2 (17 C.F.R. § 275.204-2).</w:t>
      </w:r>
    </w:p>
    <w:p w14:paraId="1C04C2B0" w14:textId="77777777" w:rsidR="00617F29" w:rsidRDefault="00000000">
      <w:pPr>
        <w:spacing w:after="120" w:line="300" w:lineRule="auto"/>
      </w:pPr>
      <w:r>
        <w:rPr>
          <w:color w:val="000000"/>
        </w:rPr>
        <w:t>In plain terms: when a project moves through the TCA pipeline — whether a Cotton Valley E&amp;P prospect, a West Texas solar PV development, a Class-B multifamily acquisition, or a growth-stage SaaS investment — the Risk Engine is the single system that scores it, grades it, locks the record, and produces the structured risk output that flows into the Viability Opinion Report.</w:t>
      </w:r>
    </w:p>
    <w:p w14:paraId="7DAD95F4" w14:textId="77777777" w:rsidR="00617F29" w:rsidRDefault="00000000">
      <w:pPr>
        <w:pStyle w:val="Heading1"/>
        <w:spacing w:before="360" w:after="180"/>
      </w:pPr>
      <w:r>
        <w:rPr>
          <w:b/>
          <w:bCs/>
          <w:color w:val="1F3864"/>
          <w:sz w:val="30"/>
          <w:szCs w:val="30"/>
        </w:rPr>
        <w:t>3</w:t>
      </w:r>
      <w:proofErr w:type="gramStart"/>
      <w:r>
        <w:rPr>
          <w:b/>
          <w:bCs/>
          <w:color w:val="1F3864"/>
          <w:sz w:val="30"/>
          <w:szCs w:val="30"/>
        </w:rPr>
        <w:t>.  What</w:t>
      </w:r>
      <w:proofErr w:type="gramEnd"/>
      <w:r>
        <w:rPr>
          <w:b/>
          <w:bCs/>
          <w:color w:val="1F3864"/>
          <w:sz w:val="30"/>
          <w:szCs w:val="30"/>
        </w:rPr>
        <w:t xml:space="preserve"> the Risk Engine Does</w:t>
      </w:r>
    </w:p>
    <w:p w14:paraId="075E9E71" w14:textId="77777777" w:rsidR="00617F29" w:rsidRDefault="00000000">
      <w:pPr>
        <w:spacing w:after="120" w:line="300" w:lineRule="auto"/>
      </w:pPr>
      <w:r>
        <w:rPr>
          <w:color w:val="000000"/>
        </w:rPr>
        <w:t xml:space="preserve">The system supports four primary use cases, each invariant across sectors but </w:t>
      </w:r>
      <w:proofErr w:type="spellStart"/>
      <w:r>
        <w:rPr>
          <w:color w:val="000000"/>
        </w:rPr>
        <w:t>specialised</w:t>
      </w:r>
      <w:proofErr w:type="spellEnd"/>
      <w:r>
        <w:rPr>
          <w:color w:val="000000"/>
        </w:rPr>
        <w:t xml:space="preserve"> </w:t>
      </w:r>
      <w:proofErr w:type="gramStart"/>
      <w:r>
        <w:rPr>
          <w:color w:val="000000"/>
        </w:rPr>
        <w:t>through</w:t>
      </w:r>
      <w:proofErr w:type="gramEnd"/>
      <w:r>
        <w:rPr>
          <w:color w:val="000000"/>
        </w:rPr>
        <w:t xml:space="preserve"> the active vertical framework:</w:t>
      </w:r>
    </w:p>
    <w:p w14:paraId="53F0FEA3" w14:textId="77777777" w:rsidR="00617F29" w:rsidRDefault="00000000">
      <w:pPr>
        <w:pStyle w:val="ListParagraph"/>
        <w:numPr>
          <w:ilvl w:val="0"/>
          <w:numId w:val="2"/>
        </w:numPr>
        <w:spacing w:before="60" w:after="120" w:line="300" w:lineRule="auto"/>
      </w:pPr>
      <w:r>
        <w:rPr>
          <w:b/>
          <w:bCs/>
          <w:color w:val="000000"/>
        </w:rPr>
        <w:t xml:space="preserve">UC-1: Project-Level Risk Assessment. </w:t>
      </w:r>
      <w:r>
        <w:rPr>
          <w:color w:val="000000"/>
        </w:rPr>
        <w:t>A Risk Analyst loads a project’s evaluative record from R&amp;I, selects the active vertical framework and the project stage, and scores each element of each domain using Likelihood × Impact → Inherent Risk, then divides by Control Effectiveness to derive Residual Risk. The Engine surfaces the "Information Required," "Risk Signature," "Indicative Data Sources," and "Analyst Guidance" fields from the Risk Domain Registry inline during scoring. Domain scores roll up to a composite TCA score using stage-sensitive weights, and the composite maps to a TCA grade (TCA-A through TCA-S).</w:t>
      </w:r>
    </w:p>
    <w:p w14:paraId="5F6585C9" w14:textId="77777777" w:rsidR="00617F29" w:rsidRDefault="00000000">
      <w:pPr>
        <w:pStyle w:val="ListParagraph"/>
        <w:numPr>
          <w:ilvl w:val="0"/>
          <w:numId w:val="2"/>
        </w:numPr>
        <w:spacing w:before="60" w:after="120" w:line="300" w:lineRule="auto"/>
      </w:pPr>
      <w:r>
        <w:rPr>
          <w:b/>
          <w:bCs/>
          <w:color w:val="000000"/>
        </w:rPr>
        <w:t xml:space="preserve">UC-2: Portfolio Aggregation &amp; Heat Mapping. </w:t>
      </w:r>
      <w:r>
        <w:rPr>
          <w:color w:val="000000"/>
        </w:rPr>
        <w:t>The Engine aggregates all active assessments into a portfolio dashboard with risk distribution by domain, stage, asset class, analyst, and composite grade. Heat maps display inherent vs. residual risk concentration. Concentration alerts flag exposure thresholds — single-counterparty, single-basin, single-sector, single-stage — for CRO and Principal review.</w:t>
      </w:r>
    </w:p>
    <w:p w14:paraId="54CA504D" w14:textId="77777777" w:rsidR="00617F29" w:rsidRDefault="00000000">
      <w:pPr>
        <w:pStyle w:val="ListParagraph"/>
        <w:numPr>
          <w:ilvl w:val="0"/>
          <w:numId w:val="2"/>
        </w:numPr>
        <w:spacing w:before="60" w:after="120" w:line="300" w:lineRule="auto"/>
      </w:pPr>
      <w:r>
        <w:rPr>
          <w:b/>
          <w:bCs/>
          <w:color w:val="000000"/>
        </w:rPr>
        <w:t xml:space="preserve">UC-3: Viability Opinion Report Integration. </w:t>
      </w:r>
      <w:r>
        <w:rPr>
          <w:color w:val="000000"/>
        </w:rPr>
        <w:t xml:space="preserve">Locked assessments produce a structured risk section — domain scores, residual heat map, composite grade, and analyst rationale — exportable </w:t>
      </w:r>
      <w:r>
        <w:rPr>
          <w:color w:val="000000"/>
        </w:rPr>
        <w:lastRenderedPageBreak/>
        <w:t>directly into the Viability Opinion Report. The Engine is the source of truth for all risk content in client-facing TCA deliverables.</w:t>
      </w:r>
    </w:p>
    <w:p w14:paraId="70778378" w14:textId="77777777" w:rsidR="00617F29" w:rsidRDefault="00000000">
      <w:pPr>
        <w:pStyle w:val="ListParagraph"/>
        <w:numPr>
          <w:ilvl w:val="0"/>
          <w:numId w:val="2"/>
        </w:numPr>
        <w:spacing w:before="60" w:after="120" w:line="300" w:lineRule="auto"/>
      </w:pPr>
      <w:r>
        <w:rPr>
          <w:b/>
          <w:bCs/>
          <w:color w:val="000000"/>
        </w:rPr>
        <w:t xml:space="preserve">UC-4: API Exposure &amp; Downstream Consumption. </w:t>
      </w:r>
      <w:r>
        <w:rPr>
          <w:color w:val="000000"/>
        </w:rPr>
        <w:t>Composite grades and portfolio metrics are exposed through a documented REST API (the same INT-001 through INT-007 interface contract used by the Reference Engine for bidirectional integration). This allows downstream consumers — the TokenCap Network, future TCM / TCA workflows, the client/investor portal, and in time third-party data licensees — to query TCA’s analytical outputs under a governed data-sharing arrangement, without direct database access.</w:t>
      </w:r>
    </w:p>
    <w:p w14:paraId="33FB8935" w14:textId="77777777" w:rsidR="00617F29" w:rsidRDefault="00000000">
      <w:pPr>
        <w:spacing w:after="120" w:line="300" w:lineRule="auto"/>
      </w:pPr>
      <w:r>
        <w:rPr>
          <w:color w:val="000000"/>
        </w:rPr>
        <w:t>Every assessment carries the active framework version, the stage applied, the composite score and grade, the assessment ID, the R&amp;I analyst and Risk reviewer identities, and an immutable evidence reference. Records are retained for a minimum of five years (TCA’s chosen practice extends this to seven), consistent with SEC Rule 204-2 obligations and TCA-UNIV-001-v1.0 retention requirements.</w:t>
      </w:r>
    </w:p>
    <w:p w14:paraId="53CB7E69" w14:textId="77777777" w:rsidR="00617F29" w:rsidRDefault="00000000">
      <w:pPr>
        <w:pStyle w:val="Heading1"/>
        <w:spacing w:before="360" w:after="180"/>
      </w:pPr>
      <w:r>
        <w:rPr>
          <w:b/>
          <w:bCs/>
          <w:color w:val="1F3864"/>
          <w:sz w:val="30"/>
          <w:szCs w:val="30"/>
        </w:rPr>
        <w:t>4</w:t>
      </w:r>
      <w:proofErr w:type="gramStart"/>
      <w:r>
        <w:rPr>
          <w:b/>
          <w:bCs/>
          <w:color w:val="1F3864"/>
          <w:sz w:val="30"/>
          <w:szCs w:val="30"/>
        </w:rPr>
        <w:t>.  How</w:t>
      </w:r>
      <w:proofErr w:type="gramEnd"/>
      <w:r>
        <w:rPr>
          <w:b/>
          <w:bCs/>
          <w:color w:val="1F3864"/>
          <w:sz w:val="30"/>
          <w:szCs w:val="30"/>
        </w:rPr>
        <w:t xml:space="preserve"> the Risk Engine Is Constructed</w:t>
      </w:r>
    </w:p>
    <w:p w14:paraId="40BD58E9" w14:textId="77777777" w:rsidR="00617F29" w:rsidRDefault="00000000">
      <w:pPr>
        <w:pStyle w:val="Heading2"/>
        <w:spacing w:before="240" w:after="120"/>
      </w:pPr>
      <w:proofErr w:type="gramStart"/>
      <w:r>
        <w:rPr>
          <w:b/>
          <w:bCs/>
          <w:color w:val="1F3864"/>
          <w:sz w:val="24"/>
          <w:szCs w:val="24"/>
        </w:rPr>
        <w:t>4.1  Four</w:t>
      </w:r>
      <w:proofErr w:type="gramEnd"/>
      <w:r>
        <w:rPr>
          <w:b/>
          <w:bCs/>
          <w:color w:val="1F3864"/>
          <w:sz w:val="24"/>
          <w:szCs w:val="24"/>
        </w:rPr>
        <w:t>-Layer Architecture</w:t>
      </w:r>
    </w:p>
    <w:p w14:paraId="3B08C986" w14:textId="77777777" w:rsidR="00617F29" w:rsidRDefault="00000000">
      <w:pPr>
        <w:spacing w:after="120" w:line="300" w:lineRule="auto"/>
      </w:pPr>
      <w:r>
        <w:rPr>
          <w:color w:val="000000"/>
        </w:rPr>
        <w:t xml:space="preserve">The system is built as four independently maintainable layers. Each layer is replaceable without redesigning the others, and each is sector-agnostic by design, adapting to verticals through configuration rather than </w:t>
      </w:r>
      <w:proofErr w:type="spellStart"/>
      <w:r>
        <w:rPr>
          <w:color w:val="000000"/>
        </w:rPr>
        <w:t>rearchitecture</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2500"/>
        <w:gridCol w:w="2500"/>
        <w:gridCol w:w="2500"/>
      </w:tblGrid>
      <w:tr w:rsidR="00617F29" w14:paraId="3CA6FD86" w14:textId="77777777">
        <w:tblPrEx>
          <w:tblCellMar>
            <w:top w:w="0" w:type="dxa"/>
            <w:bottom w:w="0" w:type="dxa"/>
          </w:tblCellMar>
        </w:tblPrEx>
        <w:trPr>
          <w:tblHeader/>
        </w:trPr>
        <w:tc>
          <w:tcPr>
            <w:tcW w:w="186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5B27DC37" w14:textId="77777777" w:rsidR="00617F29" w:rsidRDefault="00000000">
            <w:pPr>
              <w:spacing w:before="40" w:after="40" w:line="280" w:lineRule="auto"/>
            </w:pPr>
            <w:r>
              <w:rPr>
                <w:b/>
                <w:bCs/>
                <w:color w:val="FFFFFF"/>
                <w:sz w:val="20"/>
                <w:szCs w:val="20"/>
              </w:rPr>
              <w:t>Layer</w:t>
            </w:r>
          </w:p>
        </w:tc>
        <w:tc>
          <w:tcPr>
            <w:tcW w:w="250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23380F36" w14:textId="77777777" w:rsidR="00617F29" w:rsidRDefault="00000000">
            <w:pPr>
              <w:spacing w:before="40" w:after="40" w:line="280" w:lineRule="auto"/>
            </w:pPr>
            <w:r>
              <w:rPr>
                <w:b/>
                <w:bCs/>
                <w:color w:val="FFFFFF"/>
                <w:sz w:val="20"/>
                <w:szCs w:val="20"/>
              </w:rPr>
              <w:t>Purpose</w:t>
            </w:r>
          </w:p>
        </w:tc>
        <w:tc>
          <w:tcPr>
            <w:tcW w:w="250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38AC4D4E" w14:textId="77777777" w:rsidR="00617F29" w:rsidRDefault="00000000">
            <w:pPr>
              <w:spacing w:before="40" w:after="40" w:line="280" w:lineRule="auto"/>
            </w:pPr>
            <w:r>
              <w:rPr>
                <w:b/>
                <w:bCs/>
                <w:color w:val="FFFFFF"/>
                <w:sz w:val="20"/>
                <w:szCs w:val="20"/>
              </w:rPr>
              <w:t>Key Components</w:t>
            </w:r>
          </w:p>
        </w:tc>
        <w:tc>
          <w:tcPr>
            <w:tcW w:w="250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451E7623" w14:textId="77777777" w:rsidR="00617F29" w:rsidRDefault="00000000">
            <w:pPr>
              <w:spacing w:before="40" w:after="40" w:line="280" w:lineRule="auto"/>
            </w:pPr>
            <w:r>
              <w:rPr>
                <w:b/>
                <w:bCs/>
                <w:color w:val="FFFFFF"/>
                <w:sz w:val="20"/>
                <w:szCs w:val="20"/>
              </w:rPr>
              <w:t>Sector Adaptation</w:t>
            </w:r>
          </w:p>
        </w:tc>
      </w:tr>
      <w:tr w:rsidR="00617F29" w14:paraId="6D35B789" w14:textId="77777777">
        <w:tblPrEx>
          <w:tblCellMar>
            <w:top w:w="0" w:type="dxa"/>
            <w:bottom w:w="0" w:type="dxa"/>
          </w:tblCellMar>
        </w:tblPrEx>
        <w:tc>
          <w:tcPr>
            <w:tcW w:w="18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6D58CB3A" w14:textId="77777777" w:rsidR="00617F29" w:rsidRDefault="00000000">
            <w:pPr>
              <w:spacing w:before="40" w:after="40" w:line="280" w:lineRule="auto"/>
            </w:pPr>
            <w:r>
              <w:rPr>
                <w:color w:val="000000"/>
                <w:sz w:val="20"/>
                <w:szCs w:val="20"/>
              </w:rPr>
              <w:t>Layer 1 — Domain Registry &amp; Framework</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02797034" w14:textId="77777777" w:rsidR="00617F29" w:rsidRDefault="00000000">
            <w:pPr>
              <w:spacing w:before="40" w:after="40" w:line="280" w:lineRule="auto"/>
            </w:pPr>
            <w:r>
              <w:rPr>
                <w:color w:val="000000"/>
                <w:sz w:val="20"/>
                <w:szCs w:val="20"/>
              </w:rPr>
              <w:t>Encode the canonical five-domain taxonomy, all vertical frameworks, stage-sensitive weights, and the scoring scale matrix.</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07D21F62" w14:textId="77777777" w:rsidR="00617F29" w:rsidRDefault="00000000">
            <w:pPr>
              <w:spacing w:before="40" w:after="40" w:line="280" w:lineRule="auto"/>
            </w:pPr>
            <w:r>
              <w:rPr>
                <w:color w:val="000000"/>
                <w:sz w:val="20"/>
                <w:szCs w:val="20"/>
              </w:rPr>
              <w:t>PostgreSQL master data tables; Domain Registry admin interface; framework version control.</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230AB7B1" w14:textId="77777777" w:rsidR="00617F29" w:rsidRDefault="00000000">
            <w:pPr>
              <w:spacing w:before="40" w:after="40" w:line="280" w:lineRule="auto"/>
            </w:pPr>
            <w:r>
              <w:rPr>
                <w:color w:val="000000"/>
                <w:sz w:val="20"/>
                <w:szCs w:val="20"/>
              </w:rPr>
              <w:t>Each vertical framework (EP/REN/RE/TECH) registered against TCA-UNIV-001 as conforming sub-framework; common schema.</w:t>
            </w:r>
          </w:p>
        </w:tc>
      </w:tr>
      <w:tr w:rsidR="00617F29" w14:paraId="3F4D9B82" w14:textId="77777777">
        <w:tblPrEx>
          <w:tblCellMar>
            <w:top w:w="0" w:type="dxa"/>
            <w:bottom w:w="0" w:type="dxa"/>
          </w:tblCellMar>
        </w:tblPrEx>
        <w:tc>
          <w:tcPr>
            <w:tcW w:w="18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40CF0735" w14:textId="77777777" w:rsidR="00617F29" w:rsidRDefault="00000000">
            <w:pPr>
              <w:spacing w:before="40" w:after="40" w:line="280" w:lineRule="auto"/>
            </w:pPr>
            <w:r>
              <w:rPr>
                <w:color w:val="000000"/>
                <w:sz w:val="20"/>
                <w:szCs w:val="20"/>
              </w:rPr>
              <w:t>Layer 2 — Assessment Engine</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615444DC" w14:textId="77777777" w:rsidR="00617F29" w:rsidRDefault="00000000">
            <w:pPr>
              <w:spacing w:before="40" w:after="40" w:line="280" w:lineRule="auto"/>
            </w:pPr>
            <w:r>
              <w:rPr>
                <w:color w:val="000000"/>
                <w:sz w:val="20"/>
                <w:szCs w:val="20"/>
              </w:rPr>
              <w:t>Create assessments, capture element-level scoring, calculate composite scores and grades, enforce workflow gates.</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8E28622" w14:textId="77777777" w:rsidR="00617F29" w:rsidRDefault="00000000">
            <w:pPr>
              <w:spacing w:before="40" w:after="40" w:line="280" w:lineRule="auto"/>
            </w:pPr>
            <w:r>
              <w:rPr>
                <w:color w:val="000000"/>
                <w:sz w:val="20"/>
                <w:szCs w:val="20"/>
              </w:rPr>
              <w:t>Scoring Scale Engine (L × I ÷ Control); Composite Calculator; Workflow State Machine; Evidence Repository.</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2540BADE" w14:textId="77777777" w:rsidR="00617F29" w:rsidRDefault="00000000">
            <w:pPr>
              <w:spacing w:before="40" w:after="40" w:line="280" w:lineRule="auto"/>
            </w:pPr>
            <w:r>
              <w:rPr>
                <w:color w:val="000000"/>
                <w:sz w:val="20"/>
                <w:szCs w:val="20"/>
              </w:rPr>
              <w:t>Active framework determines element set, weights, and grade thresholds; engine is generic.</w:t>
            </w:r>
          </w:p>
        </w:tc>
      </w:tr>
      <w:tr w:rsidR="00617F29" w14:paraId="0800F701" w14:textId="77777777">
        <w:tblPrEx>
          <w:tblCellMar>
            <w:top w:w="0" w:type="dxa"/>
            <w:bottom w:w="0" w:type="dxa"/>
          </w:tblCellMar>
        </w:tblPrEx>
        <w:tc>
          <w:tcPr>
            <w:tcW w:w="18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1F53A14C" w14:textId="77777777" w:rsidR="00617F29" w:rsidRDefault="00000000">
            <w:pPr>
              <w:spacing w:before="40" w:after="40" w:line="280" w:lineRule="auto"/>
            </w:pPr>
            <w:r>
              <w:rPr>
                <w:color w:val="000000"/>
                <w:sz w:val="20"/>
                <w:szCs w:val="20"/>
              </w:rPr>
              <w:t>Layer 3 — Portfolio &amp; Reporting</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665F96A1" w14:textId="77777777" w:rsidR="00617F29" w:rsidRDefault="00000000">
            <w:pPr>
              <w:spacing w:before="40" w:after="40" w:line="280" w:lineRule="auto"/>
            </w:pPr>
            <w:r>
              <w:rPr>
                <w:color w:val="000000"/>
                <w:sz w:val="20"/>
                <w:szCs w:val="20"/>
              </w:rPr>
              <w:t>Aggregate assessments into heat maps, dashboards, concentration analytics; export structured risk sections to the Viability Opinion Report.</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C229D43" w14:textId="77777777" w:rsidR="00617F29" w:rsidRDefault="00000000">
            <w:pPr>
              <w:spacing w:before="40" w:after="40" w:line="280" w:lineRule="auto"/>
            </w:pPr>
            <w:r>
              <w:rPr>
                <w:color w:val="000000"/>
                <w:sz w:val="20"/>
                <w:szCs w:val="20"/>
              </w:rPr>
              <w:t>Portfolio Dashboard; Heat Map Engine; VOR Export Module; PDF/DOCX renderers.</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56F8206E" w14:textId="77777777" w:rsidR="00617F29" w:rsidRDefault="00000000">
            <w:pPr>
              <w:spacing w:before="40" w:after="40" w:line="280" w:lineRule="auto"/>
            </w:pPr>
            <w:r>
              <w:rPr>
                <w:color w:val="000000"/>
                <w:sz w:val="20"/>
                <w:szCs w:val="20"/>
              </w:rPr>
              <w:t xml:space="preserve">Cross-sector aggregation by domain, stage, asset class; vertical-specific </w:t>
            </w:r>
            <w:proofErr w:type="gramStart"/>
            <w:r>
              <w:rPr>
                <w:color w:val="000000"/>
                <w:sz w:val="20"/>
                <w:szCs w:val="20"/>
              </w:rPr>
              <w:t>drill-downs</w:t>
            </w:r>
            <w:proofErr w:type="gramEnd"/>
            <w:r>
              <w:rPr>
                <w:color w:val="000000"/>
                <w:sz w:val="20"/>
                <w:szCs w:val="20"/>
              </w:rPr>
              <w:t>.</w:t>
            </w:r>
          </w:p>
        </w:tc>
      </w:tr>
      <w:tr w:rsidR="00617F29" w14:paraId="1F7C3E4C" w14:textId="77777777">
        <w:tblPrEx>
          <w:tblCellMar>
            <w:top w:w="0" w:type="dxa"/>
            <w:bottom w:w="0" w:type="dxa"/>
          </w:tblCellMar>
        </w:tblPrEx>
        <w:tc>
          <w:tcPr>
            <w:tcW w:w="18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28108914" w14:textId="77777777" w:rsidR="00617F29" w:rsidRDefault="00000000">
            <w:pPr>
              <w:spacing w:before="40" w:after="40" w:line="280" w:lineRule="auto"/>
            </w:pPr>
            <w:r>
              <w:rPr>
                <w:color w:val="000000"/>
                <w:sz w:val="20"/>
                <w:szCs w:val="20"/>
              </w:rPr>
              <w:lastRenderedPageBreak/>
              <w:t>Layer 4 — Interface</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1D678215" w14:textId="77777777" w:rsidR="00617F29" w:rsidRDefault="00000000">
            <w:pPr>
              <w:spacing w:before="40" w:after="40" w:line="280" w:lineRule="auto"/>
            </w:pPr>
            <w:r>
              <w:rPr>
                <w:color w:val="000000"/>
                <w:sz w:val="20"/>
                <w:szCs w:val="20"/>
              </w:rPr>
              <w:t>Provide analyst UI, governed workflow, and a documented REST API for downstream consumption.</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26F633DA" w14:textId="77777777" w:rsidR="00617F29" w:rsidRDefault="00000000">
            <w:pPr>
              <w:spacing w:before="40" w:after="40" w:line="280" w:lineRule="auto"/>
            </w:pPr>
            <w:r>
              <w:rPr>
                <w:color w:val="000000"/>
                <w:sz w:val="20"/>
                <w:szCs w:val="20"/>
              </w:rPr>
              <w:t>React/TypeScript SPA; Node.js/Express API; PostgreSQL; JWT-based RBAC; immutable audit log.</w:t>
            </w:r>
          </w:p>
        </w:tc>
        <w:tc>
          <w:tcPr>
            <w:tcW w:w="25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4E2FEBF7" w14:textId="77777777" w:rsidR="00617F29" w:rsidRDefault="00000000">
            <w:pPr>
              <w:spacing w:before="40" w:after="40" w:line="280" w:lineRule="auto"/>
            </w:pPr>
            <w:r>
              <w:rPr>
                <w:color w:val="000000"/>
                <w:sz w:val="20"/>
                <w:szCs w:val="20"/>
              </w:rPr>
              <w:t>Sector selector at project creation; UI surfaces active framework’s elements and weights.</w:t>
            </w:r>
          </w:p>
        </w:tc>
      </w:tr>
    </w:tbl>
    <w:p w14:paraId="7C6E9BBC" w14:textId="77777777" w:rsidR="00617F29" w:rsidRDefault="00617F29">
      <w:pPr>
        <w:spacing w:after="80" w:line="300" w:lineRule="auto"/>
      </w:pPr>
    </w:p>
    <w:p w14:paraId="3A5968FE" w14:textId="77777777" w:rsidR="00617F29" w:rsidRDefault="00000000">
      <w:pPr>
        <w:pStyle w:val="Heading2"/>
        <w:spacing w:before="240" w:after="120"/>
      </w:pPr>
      <w:proofErr w:type="gramStart"/>
      <w:r>
        <w:rPr>
          <w:b/>
          <w:bCs/>
          <w:color w:val="1F3864"/>
          <w:sz w:val="24"/>
          <w:szCs w:val="24"/>
        </w:rPr>
        <w:t>4.2  Methodology</w:t>
      </w:r>
      <w:proofErr w:type="gramEnd"/>
      <w:r>
        <w:rPr>
          <w:b/>
          <w:bCs/>
          <w:color w:val="1F3864"/>
          <w:sz w:val="24"/>
          <w:szCs w:val="24"/>
        </w:rPr>
        <w:t xml:space="preserve"> Encoding — How Frameworks Drive the Engine</w:t>
      </w:r>
    </w:p>
    <w:p w14:paraId="131DAF1E" w14:textId="77777777" w:rsidR="00617F29" w:rsidRDefault="00000000">
      <w:pPr>
        <w:spacing w:after="120" w:line="300" w:lineRule="auto"/>
      </w:pPr>
      <w:r>
        <w:rPr>
          <w:color w:val="000000"/>
        </w:rPr>
        <w:t>Sector adaptation is implemented at three points and nowhere else. First, the active vertical framework is selected at project creation; the Engine loads its element list, stage definitions, and stage-weight table. Second, the analyst scores against the elements of that framework — the Engine renders inline the asset-class-specific Information Required, Risk Signature, and Data Source guidance for each element. Third, the composite is computed by multiplying each Domain Score (1.0–5.0) by the active framework’s stage-sensitive weight and summing. The Engine itself is sector-agnostic; what changes between an E&amp;P drilling program and a Class-B multifamily acquisition is the framework loaded into it.</w:t>
      </w:r>
    </w:p>
    <w:p w14:paraId="74D3D961" w14:textId="77777777" w:rsidR="00617F29" w:rsidRDefault="00000000">
      <w:pPr>
        <w:spacing w:after="120" w:line="300" w:lineRule="auto"/>
      </w:pPr>
      <w:r>
        <w:rPr>
          <w:color w:val="000000"/>
        </w:rPr>
        <w:t>The Universal taxonomy is what makes this work. The five domains are stable across sectors; only the language and reference data change. The translation matrix below — drawn directly from TCA-UNIV-001-v1.0 — is what the Engine encodes: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90"/>
        <w:gridCol w:w="1790"/>
        <w:gridCol w:w="1790"/>
        <w:gridCol w:w="1790"/>
      </w:tblGrid>
      <w:tr w:rsidR="00617F29" w14:paraId="1850DF6F" w14:textId="77777777">
        <w:tblPrEx>
          <w:tblCellMar>
            <w:top w:w="0" w:type="dxa"/>
            <w:bottom w:w="0" w:type="dxa"/>
          </w:tblCellMar>
        </w:tblPrEx>
        <w:trPr>
          <w:tblHeader/>
        </w:trPr>
        <w:tc>
          <w:tcPr>
            <w:tcW w:w="220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7E474303" w14:textId="77777777" w:rsidR="00617F29" w:rsidRDefault="00000000">
            <w:pPr>
              <w:spacing w:before="40" w:after="40" w:line="280" w:lineRule="auto"/>
            </w:pPr>
            <w:r>
              <w:rPr>
                <w:b/>
                <w:bCs/>
                <w:color w:val="FFFFFF"/>
                <w:sz w:val="20"/>
                <w:szCs w:val="20"/>
              </w:rPr>
              <w:t>TCA Universal Domain</w:t>
            </w:r>
          </w:p>
        </w:tc>
        <w:tc>
          <w:tcPr>
            <w:tcW w:w="179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0EE2D622" w14:textId="77777777" w:rsidR="00617F29" w:rsidRDefault="00000000">
            <w:pPr>
              <w:spacing w:before="40" w:after="40" w:line="280" w:lineRule="auto"/>
            </w:pPr>
            <w:r>
              <w:rPr>
                <w:b/>
                <w:bCs/>
                <w:color w:val="FFFFFF"/>
                <w:sz w:val="20"/>
                <w:szCs w:val="20"/>
              </w:rPr>
              <w:t>E&amp;P Upstream</w:t>
            </w:r>
          </w:p>
        </w:tc>
        <w:tc>
          <w:tcPr>
            <w:tcW w:w="179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2F3D9C90" w14:textId="77777777" w:rsidR="00617F29" w:rsidRDefault="00000000">
            <w:pPr>
              <w:spacing w:before="40" w:after="40" w:line="280" w:lineRule="auto"/>
            </w:pPr>
            <w:r>
              <w:rPr>
                <w:b/>
                <w:bCs/>
                <w:color w:val="FFFFFF"/>
                <w:sz w:val="20"/>
                <w:szCs w:val="20"/>
              </w:rPr>
              <w:t>Renewables</w:t>
            </w:r>
          </w:p>
        </w:tc>
        <w:tc>
          <w:tcPr>
            <w:tcW w:w="179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69ABFB5B" w14:textId="77777777" w:rsidR="00617F29" w:rsidRDefault="00000000">
            <w:pPr>
              <w:spacing w:before="40" w:after="40" w:line="280" w:lineRule="auto"/>
            </w:pPr>
            <w:r>
              <w:rPr>
                <w:b/>
                <w:bCs/>
                <w:color w:val="FFFFFF"/>
                <w:sz w:val="20"/>
                <w:szCs w:val="20"/>
              </w:rPr>
              <w:t>Real Estate</w:t>
            </w:r>
          </w:p>
        </w:tc>
        <w:tc>
          <w:tcPr>
            <w:tcW w:w="179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05D6B0FF" w14:textId="77777777" w:rsidR="00617F29" w:rsidRDefault="00000000">
            <w:pPr>
              <w:spacing w:before="40" w:after="40" w:line="280" w:lineRule="auto"/>
            </w:pPr>
            <w:r>
              <w:rPr>
                <w:b/>
                <w:bCs/>
                <w:color w:val="FFFFFF"/>
                <w:sz w:val="20"/>
                <w:szCs w:val="20"/>
              </w:rPr>
              <w:t>Technology</w:t>
            </w:r>
          </w:p>
        </w:tc>
      </w:tr>
      <w:tr w:rsidR="00617F29" w14:paraId="4E7B3E39" w14:textId="77777777">
        <w:tblPrEx>
          <w:tblCellMar>
            <w:top w:w="0" w:type="dxa"/>
            <w:bottom w:w="0" w:type="dxa"/>
          </w:tblCellMar>
        </w:tblPrEx>
        <w:tc>
          <w:tcPr>
            <w:tcW w:w="22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1987306" w14:textId="77777777" w:rsidR="00617F29" w:rsidRDefault="00000000">
            <w:pPr>
              <w:spacing w:before="40" w:after="40" w:line="280" w:lineRule="auto"/>
            </w:pPr>
            <w:r>
              <w:rPr>
                <w:color w:val="000000"/>
                <w:sz w:val="18"/>
                <w:szCs w:val="18"/>
              </w:rPr>
              <w:t>Foundational / Asset (FR)</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008194E2" w14:textId="77777777" w:rsidR="00617F29" w:rsidRDefault="00000000">
            <w:pPr>
              <w:spacing w:before="40" w:after="40" w:line="280" w:lineRule="auto"/>
            </w:pPr>
            <w:r>
              <w:rPr>
                <w:color w:val="000000"/>
                <w:sz w:val="18"/>
                <w:szCs w:val="18"/>
              </w:rPr>
              <w:t>Geological &amp; Reservoir</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06396491" w14:textId="77777777" w:rsidR="00617F29" w:rsidRDefault="00000000">
            <w:pPr>
              <w:spacing w:before="40" w:after="40" w:line="280" w:lineRule="auto"/>
            </w:pPr>
            <w:r>
              <w:rPr>
                <w:color w:val="000000"/>
                <w:sz w:val="18"/>
                <w:szCs w:val="18"/>
              </w:rPr>
              <w:t>Resource &amp; Energy Yield</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62D3C692" w14:textId="77777777" w:rsidR="00617F29" w:rsidRDefault="00000000">
            <w:pPr>
              <w:spacing w:before="40" w:after="40" w:line="280" w:lineRule="auto"/>
            </w:pPr>
            <w:r>
              <w:rPr>
                <w:color w:val="000000"/>
                <w:sz w:val="18"/>
                <w:szCs w:val="18"/>
              </w:rPr>
              <w:t>Location &amp; Market</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175C7B4" w14:textId="77777777" w:rsidR="00617F29" w:rsidRDefault="00000000">
            <w:pPr>
              <w:spacing w:before="40" w:after="40" w:line="280" w:lineRule="auto"/>
            </w:pPr>
            <w:r>
              <w:rPr>
                <w:color w:val="000000"/>
                <w:sz w:val="18"/>
                <w:szCs w:val="18"/>
              </w:rPr>
              <w:t>Product-Market Fit</w:t>
            </w:r>
          </w:p>
        </w:tc>
      </w:tr>
      <w:tr w:rsidR="00617F29" w14:paraId="61BF5DAA" w14:textId="77777777">
        <w:tblPrEx>
          <w:tblCellMar>
            <w:top w:w="0" w:type="dxa"/>
            <w:bottom w:w="0" w:type="dxa"/>
          </w:tblCellMar>
        </w:tblPrEx>
        <w:tc>
          <w:tcPr>
            <w:tcW w:w="22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690EF808" w14:textId="77777777" w:rsidR="00617F29" w:rsidRDefault="00000000">
            <w:pPr>
              <w:spacing w:before="40" w:after="40" w:line="280" w:lineRule="auto"/>
            </w:pPr>
            <w:r>
              <w:rPr>
                <w:color w:val="000000"/>
                <w:sz w:val="18"/>
                <w:szCs w:val="18"/>
              </w:rPr>
              <w:t>Technical &amp; Execution (TE)</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E4E3740" w14:textId="77777777" w:rsidR="00617F29" w:rsidRDefault="00000000">
            <w:pPr>
              <w:spacing w:before="40" w:after="40" w:line="280" w:lineRule="auto"/>
            </w:pPr>
            <w:r>
              <w:rPr>
                <w:color w:val="000000"/>
                <w:sz w:val="18"/>
                <w:szCs w:val="18"/>
              </w:rPr>
              <w:t>Drilling &amp; Execution</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19AA851E" w14:textId="77777777" w:rsidR="00617F29" w:rsidRDefault="00000000">
            <w:pPr>
              <w:spacing w:before="40" w:after="40" w:line="280" w:lineRule="auto"/>
            </w:pPr>
            <w:r>
              <w:rPr>
                <w:color w:val="000000"/>
                <w:sz w:val="18"/>
                <w:szCs w:val="18"/>
              </w:rPr>
              <w:t>Technical &amp; Construction</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3DC194E8" w14:textId="77777777" w:rsidR="00617F29" w:rsidRDefault="00000000">
            <w:pPr>
              <w:spacing w:before="40" w:after="40" w:line="280" w:lineRule="auto"/>
            </w:pPr>
            <w:r>
              <w:rPr>
                <w:color w:val="000000"/>
                <w:sz w:val="18"/>
                <w:szCs w:val="18"/>
              </w:rPr>
              <w:t>Development &amp; Construction</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467A6D49" w14:textId="77777777" w:rsidR="00617F29" w:rsidRDefault="00000000">
            <w:pPr>
              <w:spacing w:before="40" w:after="40" w:line="280" w:lineRule="auto"/>
            </w:pPr>
            <w:r>
              <w:rPr>
                <w:color w:val="000000"/>
                <w:sz w:val="18"/>
                <w:szCs w:val="18"/>
              </w:rPr>
              <w:t>Technology &amp; Execution</w:t>
            </w:r>
          </w:p>
        </w:tc>
      </w:tr>
      <w:tr w:rsidR="00617F29" w14:paraId="1CE4505D" w14:textId="77777777">
        <w:tblPrEx>
          <w:tblCellMar>
            <w:top w:w="0" w:type="dxa"/>
            <w:bottom w:w="0" w:type="dxa"/>
          </w:tblCellMar>
        </w:tblPrEx>
        <w:tc>
          <w:tcPr>
            <w:tcW w:w="22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05791BED" w14:textId="77777777" w:rsidR="00617F29" w:rsidRDefault="00000000">
            <w:pPr>
              <w:spacing w:before="40" w:after="40" w:line="280" w:lineRule="auto"/>
            </w:pPr>
            <w:r>
              <w:rPr>
                <w:color w:val="000000"/>
                <w:sz w:val="18"/>
                <w:szCs w:val="18"/>
              </w:rPr>
              <w:t>Regulatory &amp; External (RE)</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12310C6C" w14:textId="77777777" w:rsidR="00617F29" w:rsidRDefault="00000000">
            <w:pPr>
              <w:spacing w:before="40" w:after="40" w:line="280" w:lineRule="auto"/>
            </w:pPr>
            <w:r>
              <w:rPr>
                <w:color w:val="000000"/>
                <w:sz w:val="18"/>
                <w:szCs w:val="18"/>
              </w:rPr>
              <w:t>Regulatory &amp; Environmental</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EB63CFC" w14:textId="77777777" w:rsidR="00617F29" w:rsidRDefault="00000000">
            <w:pPr>
              <w:spacing w:before="40" w:after="40" w:line="280" w:lineRule="auto"/>
            </w:pPr>
            <w:r>
              <w:rPr>
                <w:color w:val="000000"/>
                <w:sz w:val="18"/>
                <w:szCs w:val="18"/>
              </w:rPr>
              <w:t>Regulatory &amp; Policy</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304E80C4" w14:textId="77777777" w:rsidR="00617F29" w:rsidRDefault="00000000">
            <w:pPr>
              <w:spacing w:before="40" w:after="40" w:line="280" w:lineRule="auto"/>
            </w:pPr>
            <w:r>
              <w:rPr>
                <w:color w:val="000000"/>
                <w:sz w:val="18"/>
                <w:szCs w:val="18"/>
              </w:rPr>
              <w:t>Regulatory &amp; Legal</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4EAEA45D" w14:textId="77777777" w:rsidR="00617F29" w:rsidRDefault="00000000">
            <w:pPr>
              <w:spacing w:before="40" w:after="40" w:line="280" w:lineRule="auto"/>
            </w:pPr>
            <w:r>
              <w:rPr>
                <w:color w:val="000000"/>
                <w:sz w:val="18"/>
                <w:szCs w:val="18"/>
              </w:rPr>
              <w:t>Regulatory &amp; Platform</w:t>
            </w:r>
          </w:p>
        </w:tc>
      </w:tr>
      <w:tr w:rsidR="00617F29" w14:paraId="14F95189" w14:textId="77777777">
        <w:tblPrEx>
          <w:tblCellMar>
            <w:top w:w="0" w:type="dxa"/>
            <w:bottom w:w="0" w:type="dxa"/>
          </w:tblCellMar>
        </w:tblPrEx>
        <w:tc>
          <w:tcPr>
            <w:tcW w:w="22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DEBCBAF" w14:textId="77777777" w:rsidR="00617F29" w:rsidRDefault="00000000">
            <w:pPr>
              <w:spacing w:before="40" w:after="40" w:line="280" w:lineRule="auto"/>
            </w:pPr>
            <w:r>
              <w:rPr>
                <w:color w:val="000000"/>
                <w:sz w:val="18"/>
                <w:szCs w:val="18"/>
              </w:rPr>
              <w:t>Commercial &amp; Financial (CF)</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59F1F8DA" w14:textId="77777777" w:rsidR="00617F29" w:rsidRDefault="00000000">
            <w:pPr>
              <w:spacing w:before="40" w:after="40" w:line="280" w:lineRule="auto"/>
            </w:pPr>
            <w:r>
              <w:rPr>
                <w:color w:val="000000"/>
                <w:sz w:val="18"/>
                <w:szCs w:val="18"/>
              </w:rPr>
              <w:t>Commercial &amp; Financial</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32E49BD6" w14:textId="77777777" w:rsidR="00617F29" w:rsidRDefault="00000000">
            <w:pPr>
              <w:spacing w:before="40" w:after="40" w:line="280" w:lineRule="auto"/>
            </w:pPr>
            <w:r>
              <w:rPr>
                <w:color w:val="000000"/>
                <w:sz w:val="18"/>
                <w:szCs w:val="18"/>
              </w:rPr>
              <w:t>Commercial &amp; Financial</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073B3604" w14:textId="77777777" w:rsidR="00617F29" w:rsidRDefault="00000000">
            <w:pPr>
              <w:spacing w:before="40" w:after="40" w:line="280" w:lineRule="auto"/>
            </w:pPr>
            <w:r>
              <w:rPr>
                <w:color w:val="000000"/>
                <w:sz w:val="18"/>
                <w:szCs w:val="18"/>
              </w:rPr>
              <w:t>Tenant &amp; Cash Flow</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0593DFB2" w14:textId="77777777" w:rsidR="00617F29" w:rsidRDefault="00000000">
            <w:pPr>
              <w:spacing w:before="40" w:after="40" w:line="280" w:lineRule="auto"/>
            </w:pPr>
            <w:r>
              <w:rPr>
                <w:color w:val="000000"/>
                <w:sz w:val="18"/>
                <w:szCs w:val="18"/>
              </w:rPr>
              <w:t>Financial &amp; Capital</w:t>
            </w:r>
          </w:p>
        </w:tc>
      </w:tr>
      <w:tr w:rsidR="00617F29" w14:paraId="0E629278" w14:textId="77777777">
        <w:tblPrEx>
          <w:tblCellMar>
            <w:top w:w="0" w:type="dxa"/>
            <w:bottom w:w="0" w:type="dxa"/>
          </w:tblCellMar>
        </w:tblPrEx>
        <w:tc>
          <w:tcPr>
            <w:tcW w:w="22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3BB9AC24" w14:textId="77777777" w:rsidR="00617F29" w:rsidRDefault="00000000">
            <w:pPr>
              <w:spacing w:before="40" w:after="40" w:line="280" w:lineRule="auto"/>
            </w:pPr>
            <w:r>
              <w:rPr>
                <w:color w:val="000000"/>
                <w:sz w:val="18"/>
                <w:szCs w:val="18"/>
              </w:rPr>
              <w:t>Infrastructure &amp; Market (IM)</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5D0DC3D5" w14:textId="77777777" w:rsidR="00617F29" w:rsidRDefault="00000000">
            <w:pPr>
              <w:spacing w:before="40" w:after="40" w:line="280" w:lineRule="auto"/>
            </w:pPr>
            <w:r>
              <w:rPr>
                <w:color w:val="000000"/>
                <w:sz w:val="18"/>
                <w:szCs w:val="18"/>
              </w:rPr>
              <w:t>Infrastructure &amp; Market</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41EABA6" w14:textId="77777777" w:rsidR="00617F29" w:rsidRDefault="00000000">
            <w:pPr>
              <w:spacing w:before="40" w:after="40" w:line="280" w:lineRule="auto"/>
            </w:pPr>
            <w:r>
              <w:rPr>
                <w:color w:val="000000"/>
                <w:sz w:val="18"/>
                <w:szCs w:val="18"/>
              </w:rPr>
              <w:t>Infrastructure &amp; Market</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57AC0760" w14:textId="77777777" w:rsidR="00617F29" w:rsidRDefault="00000000">
            <w:pPr>
              <w:spacing w:before="40" w:after="40" w:line="280" w:lineRule="auto"/>
            </w:pPr>
            <w:r>
              <w:rPr>
                <w:color w:val="000000"/>
                <w:sz w:val="18"/>
                <w:szCs w:val="18"/>
              </w:rPr>
              <w:t>Capital Markets &amp; Liquidity</w:t>
            </w:r>
          </w:p>
        </w:tc>
        <w:tc>
          <w:tcPr>
            <w:tcW w:w="179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DA3C251" w14:textId="77777777" w:rsidR="00617F29" w:rsidRDefault="00000000">
            <w:pPr>
              <w:spacing w:before="40" w:after="40" w:line="280" w:lineRule="auto"/>
            </w:pPr>
            <w:r>
              <w:rPr>
                <w:color w:val="000000"/>
                <w:sz w:val="18"/>
                <w:szCs w:val="18"/>
              </w:rPr>
              <w:t>Competitive &amp; Strategic</w:t>
            </w:r>
          </w:p>
        </w:tc>
      </w:tr>
    </w:tbl>
    <w:p w14:paraId="7699AE94" w14:textId="77777777" w:rsidR="00617F29" w:rsidRDefault="00617F29">
      <w:pPr>
        <w:spacing w:after="80" w:line="300" w:lineRule="auto"/>
      </w:pPr>
    </w:p>
    <w:p w14:paraId="00CB4B52" w14:textId="77777777" w:rsidR="00617F29" w:rsidRDefault="00000000">
      <w:pPr>
        <w:spacing w:after="120" w:line="300" w:lineRule="auto"/>
      </w:pPr>
      <w:r>
        <w:rPr>
          <w:color w:val="000000"/>
        </w:rPr>
        <w:t xml:space="preserve">Stage weights, however, are asset-class specific. The E&amp;P framework defines six stages (Virgin Exploration → Producing Wells); Renewables, Real Estate, and Technology each define three; and a generic three-stage table applies when no vertical framework matches. Each stage redistributes the 100% weight envelope across the five domains in proportion to where uncertainty concentrates at that </w:t>
      </w:r>
      <w:r>
        <w:rPr>
          <w:color w:val="000000"/>
        </w:rPr>
        <w:lastRenderedPageBreak/>
        <w:t>stage. The vertical-specific weight tables are authoritative; the Universal generic weights are a fallback only.</w:t>
      </w:r>
    </w:p>
    <w:p w14:paraId="12153D77" w14:textId="77777777" w:rsidR="00617F29" w:rsidRDefault="00000000">
      <w:pPr>
        <w:pStyle w:val="Heading2"/>
        <w:spacing w:before="240" w:after="120"/>
      </w:pPr>
      <w:proofErr w:type="gramStart"/>
      <w:r>
        <w:rPr>
          <w:b/>
          <w:bCs/>
          <w:color w:val="1F3864"/>
          <w:sz w:val="24"/>
          <w:szCs w:val="24"/>
        </w:rPr>
        <w:t>4.3  Standard</w:t>
      </w:r>
      <w:proofErr w:type="gramEnd"/>
      <w:r>
        <w:rPr>
          <w:b/>
          <w:bCs/>
          <w:color w:val="1F3864"/>
          <w:sz w:val="24"/>
          <w:szCs w:val="24"/>
        </w:rPr>
        <w:t xml:space="preserve"> Assessment Flow</w:t>
      </w:r>
    </w:p>
    <w:p w14:paraId="53E3CC4E" w14:textId="77777777" w:rsidR="00617F29" w:rsidRDefault="00000000">
      <w:pPr>
        <w:spacing w:after="120" w:line="300" w:lineRule="auto"/>
      </w:pPr>
      <w:r>
        <w:rPr>
          <w:color w:val="000000"/>
        </w:rPr>
        <w:t xml:space="preserve">A project proceeds through the Engine as follows. R&amp;I delivers a structured evaluative record (informed by Reference Engine queries) to the Risk Function. The Risk Analyst creates an assessment in the Engine, selects the asset class and stage, and confirms that the active vertical framework’s weights apply. The Engine renders the element list with inline Information Required and Risk Signature guidance; the analyst scores each element on Likelihood (0–3), Impact (0–3), and Control Effectiveness (1–3), and records analyst rationale. Inherent Risk = Likelihood × Impact (0–9 scale); Residual Risk = Inherent ÷ Control Effectiveness. Element-level residuals roll up to a Domain Score (1.0–5.0); domain scores combine via stage weights into a Composite Score, which maps to a TCA grade (TCA-A = 1.0–1.9 Stable; TCA-B = 2.0–2.5 Core; TCA-C = 2.6–3.2 Opportunistic; TCA-D = 3.3–4.0 High-Risk; TCA-S &gt; 4.0 Speculative). The analyst submits; an independent Reviewer approves; the assessment locks; the composite output flows to the VOR module and the portfolio dashboard. Every step is written </w:t>
      </w:r>
      <w:proofErr w:type="gramStart"/>
      <w:r>
        <w:rPr>
          <w:color w:val="000000"/>
        </w:rPr>
        <w:t>to</w:t>
      </w:r>
      <w:proofErr w:type="gramEnd"/>
      <w:r>
        <w:rPr>
          <w:color w:val="000000"/>
        </w:rPr>
        <w:t xml:space="preserve"> the immutable audit log.</w:t>
      </w:r>
    </w:p>
    <w:p w14:paraId="6521BC04" w14:textId="77777777" w:rsidR="00617F29" w:rsidRDefault="00000000">
      <w:pPr>
        <w:pStyle w:val="Heading2"/>
        <w:spacing w:before="240" w:after="120"/>
      </w:pPr>
      <w:proofErr w:type="gramStart"/>
      <w:r>
        <w:rPr>
          <w:b/>
          <w:bCs/>
          <w:color w:val="1F3864"/>
          <w:sz w:val="24"/>
          <w:szCs w:val="24"/>
        </w:rPr>
        <w:t>4.4  Build</w:t>
      </w:r>
      <w:proofErr w:type="gramEnd"/>
      <w:r>
        <w:rPr>
          <w:b/>
          <w:bCs/>
          <w:color w:val="1F3864"/>
          <w:sz w:val="24"/>
          <w:szCs w:val="24"/>
        </w:rPr>
        <w:t xml:space="preserve"> Model and Delivery</w:t>
      </w:r>
    </w:p>
    <w:p w14:paraId="5A36C85B" w14:textId="77777777" w:rsidR="00617F29" w:rsidRDefault="00000000">
      <w:pPr>
        <w:spacing w:after="120" w:line="300" w:lineRule="auto"/>
      </w:pPr>
      <w:r>
        <w:rPr>
          <w:color w:val="000000"/>
        </w:rPr>
        <w:t>The system is built using the 2678 Holdings technology delivery model. Claude is the primary development resource: application architecture, scoring logic, framework encoding, code generation, and quality testing. A part-time Senior Systems Engineer handles infrastructure provisioning, database administration, security configuration, deployment, and code review. MRB acts as product owner; Stan Hua provides cross-entity technical oversight; the CRO governs methodology conformance and approves all framework version changes.</w:t>
      </w:r>
    </w:p>
    <w:p w14:paraId="02B14246" w14:textId="77777777" w:rsidR="00617F29" w:rsidRDefault="00000000">
      <w:pPr>
        <w:spacing w:after="120" w:line="300" w:lineRule="auto"/>
      </w:pPr>
      <w:r>
        <w:rPr>
          <w:color w:val="000000"/>
        </w:rPr>
        <w:t>The Risk Engine has been under iterative artifact development since early 2026, with framework encoding (Phase 1) and the core scoring engine (Phase 2) complete in working prototype form; portfolio dashboards and VOR export (Phase 3) and API exposure and hardening (Phase 4) are the remaining workstreams ahead of production cutover. Unlike the Reference Engine, where vertical sub-corpora are sequenced because corpus curation is the binding constraint, the Risk Engine’s frameworks are already complete and registered against TCA-UNIV-001-v1.0; the initial production payload supports the E&amp;P, Renewables, Real Estate, and Technology frameworks simultaneously.</w:t>
      </w:r>
    </w:p>
    <w:p w14:paraId="65482A87" w14:textId="77777777" w:rsidR="00617F29" w:rsidRDefault="00000000">
      <w:pPr>
        <w:pStyle w:val="Heading2"/>
        <w:spacing w:before="240" w:after="120"/>
      </w:pPr>
      <w:proofErr w:type="gramStart"/>
      <w:r>
        <w:rPr>
          <w:b/>
          <w:bCs/>
          <w:color w:val="1F3864"/>
          <w:sz w:val="24"/>
          <w:szCs w:val="24"/>
        </w:rPr>
        <w:t>4.5  Critical</w:t>
      </w:r>
      <w:proofErr w:type="gramEnd"/>
      <w:r>
        <w:rPr>
          <w:b/>
          <w:bCs/>
          <w:color w:val="1F3864"/>
          <w:sz w:val="24"/>
          <w:szCs w:val="24"/>
        </w:rPr>
        <w:t xml:space="preserve"> Dependencies and Methodology Governance</w:t>
      </w:r>
    </w:p>
    <w:p w14:paraId="1C94789B" w14:textId="77777777" w:rsidR="00617F29" w:rsidRDefault="00000000">
      <w:pPr>
        <w:spacing w:after="120" w:line="300" w:lineRule="auto"/>
      </w:pPr>
      <w:r>
        <w:rPr>
          <w:color w:val="000000"/>
        </w:rPr>
        <w:t>The system has two critical-path external dependencies: PostgreSQL (master data, scoring records, audit log) and the React / Node application stack on TCA’s hosting infrastructure. Cloud hosting and disaster-recovery configuration are deferred to the production-cutover review. The Anthropic Claude API is an in-application synthesis dependency for the optional AI-assisted analysis panel (a non-core, non-scoring feature) but is not on the critical path for scoring or audit functions.</w:t>
      </w:r>
    </w:p>
    <w:p w14:paraId="06E38A95" w14:textId="77777777" w:rsidR="00617F29" w:rsidRDefault="00000000">
      <w:pPr>
        <w:spacing w:after="120" w:line="300" w:lineRule="auto"/>
      </w:pPr>
      <w:r>
        <w:rPr>
          <w:color w:val="000000"/>
        </w:rPr>
        <w:t>Methodology governance is exercised by the CRO. Any change to (</w:t>
      </w:r>
      <w:proofErr w:type="spellStart"/>
      <w:r>
        <w:rPr>
          <w:color w:val="000000"/>
        </w:rPr>
        <w:t>i</w:t>
      </w:r>
      <w:proofErr w:type="spellEnd"/>
      <w:r>
        <w:rPr>
          <w:color w:val="000000"/>
        </w:rPr>
        <w:t xml:space="preserve">) the domain taxonomy, (ii) element definitions, (iii) stage definitions or weights, (iv) the scoring scale, or (v) grade thresholds requires (a) </w:t>
      </w:r>
      <w:r>
        <w:rPr>
          <w:color w:val="000000"/>
        </w:rPr>
        <w:lastRenderedPageBreak/>
        <w:t>CRO approval, (b) a version-log entry in the Framework Directory of TCA-UNIV-001-v1.0, and (c) impact assessment on all locked historical assessments. Historical assessments retain the methodology version under which they were scored — re-grading is prohibited except by explicit CRO-approved replay, which itself is logged.</w:t>
      </w:r>
    </w:p>
    <w:p w14:paraId="6248396A" w14:textId="77777777" w:rsidR="00617F29" w:rsidRDefault="00000000">
      <w:pPr>
        <w:pStyle w:val="Heading1"/>
        <w:spacing w:before="360" w:after="180"/>
      </w:pPr>
      <w:r>
        <w:rPr>
          <w:b/>
          <w:bCs/>
          <w:color w:val="1F3864"/>
          <w:sz w:val="30"/>
          <w:szCs w:val="30"/>
        </w:rPr>
        <w:t>5</w:t>
      </w:r>
      <w:proofErr w:type="gramStart"/>
      <w:r>
        <w:rPr>
          <w:b/>
          <w:bCs/>
          <w:color w:val="1F3864"/>
          <w:sz w:val="30"/>
          <w:szCs w:val="30"/>
        </w:rPr>
        <w:t>.  Role</w:t>
      </w:r>
      <w:proofErr w:type="gramEnd"/>
      <w:r>
        <w:rPr>
          <w:b/>
          <w:bCs/>
          <w:color w:val="1F3864"/>
          <w:sz w:val="30"/>
          <w:szCs w:val="30"/>
        </w:rPr>
        <w:t xml:space="preserve"> of the Risk Engine in the TCA Workflow</w:t>
      </w:r>
    </w:p>
    <w:p w14:paraId="07CF75B2" w14:textId="77777777" w:rsidR="00617F29" w:rsidRDefault="00000000">
      <w:pPr>
        <w:spacing w:after="120" w:line="300" w:lineRule="auto"/>
      </w:pPr>
      <w:r>
        <w:rPr>
          <w:color w:val="000000"/>
        </w:rPr>
        <w:t>The Risk Engine sits between the inbound evaluative record (delivered from R&amp;I with Reference Engine grounding) and the outbound Viability Opinion Report. It is the layer at which independent risk grading is produced — structurally segregated from R&amp;I — and the only system in which a TCA risk grade can be 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17F29" w14:paraId="656D2619" w14:textId="77777777">
        <w:tblPrEx>
          <w:tblCellMar>
            <w:top w:w="0" w:type="dxa"/>
            <w:bottom w:w="0" w:type="dxa"/>
          </w:tblCellMar>
        </w:tblPrEx>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3CE2ED81" w14:textId="77777777" w:rsidR="00617F29" w:rsidRDefault="00000000">
            <w:pPr>
              <w:spacing w:before="40" w:after="40" w:line="280" w:lineRule="auto"/>
            </w:pPr>
            <w:r>
              <w:rPr>
                <w:b/>
                <w:bCs/>
                <w:color w:val="FFFFFF"/>
                <w:sz w:val="20"/>
                <w:szCs w:val="20"/>
              </w:rPr>
              <w:t>Workflow Role</w:t>
            </w:r>
          </w:p>
        </w:tc>
        <w:tc>
          <w:tcPr>
            <w:tcW w:w="696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68BE3E69" w14:textId="77777777" w:rsidR="00617F29" w:rsidRDefault="00000000">
            <w:pPr>
              <w:spacing w:before="40" w:after="40" w:line="280" w:lineRule="auto"/>
            </w:pPr>
            <w:r>
              <w:rPr>
                <w:b/>
                <w:bCs/>
                <w:color w:val="FFFFFF"/>
                <w:sz w:val="20"/>
                <w:szCs w:val="20"/>
              </w:rPr>
              <w:t>How the Risk Engine Is Used</w:t>
            </w:r>
          </w:p>
        </w:tc>
      </w:tr>
      <w:tr w:rsidR="00617F29" w14:paraId="2D1DF2E6"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275B72C3" w14:textId="77777777" w:rsidR="00617F29" w:rsidRDefault="00000000">
            <w:pPr>
              <w:spacing w:before="40" w:after="40" w:line="280" w:lineRule="auto"/>
            </w:pPr>
            <w:r>
              <w:rPr>
                <w:color w:val="000000"/>
                <w:sz w:val="20"/>
                <w:szCs w:val="20"/>
              </w:rPr>
              <w:t>R&amp;I Function</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A4E68F8" w14:textId="77777777" w:rsidR="00617F29" w:rsidRDefault="00000000">
            <w:pPr>
              <w:spacing w:before="40" w:after="40" w:line="280" w:lineRule="auto"/>
            </w:pPr>
            <w:r>
              <w:rPr>
                <w:color w:val="000000"/>
                <w:sz w:val="20"/>
                <w:szCs w:val="20"/>
              </w:rPr>
              <w:t>Producers of the evaluative record consumed by Risk. R&amp;I cannot score; R&amp;I cannot modify scored records. The Engine ingests R&amp;I outputs (project metadata, evidence repository, asset-class designation) but enforces the structural boundary at the application layer.</w:t>
            </w:r>
          </w:p>
        </w:tc>
      </w:tr>
      <w:tr w:rsidR="00617F29" w14:paraId="6A5B42BF"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0FC1E52" w14:textId="77777777" w:rsidR="00617F29" w:rsidRDefault="00000000">
            <w:pPr>
              <w:spacing w:before="40" w:after="40" w:line="280" w:lineRule="auto"/>
            </w:pPr>
            <w:r>
              <w:rPr>
                <w:color w:val="000000"/>
                <w:sz w:val="20"/>
                <w:szCs w:val="20"/>
              </w:rPr>
              <w:t>Risk Function</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1324158B" w14:textId="77777777" w:rsidR="00617F29" w:rsidRDefault="00000000">
            <w:pPr>
              <w:spacing w:before="40" w:after="40" w:line="280" w:lineRule="auto"/>
            </w:pPr>
            <w:r>
              <w:rPr>
                <w:color w:val="000000"/>
                <w:sz w:val="20"/>
                <w:szCs w:val="20"/>
              </w:rPr>
              <w:t>Primary daily users. Create assessments, score elements, submit for review, lock records. Operate exclusively against the vertical framework appropriate to the project’s asset class. Maintain analyst rationale documentation for every scored element.</w:t>
            </w:r>
          </w:p>
        </w:tc>
      </w:tr>
      <w:tr w:rsidR="00617F29" w14:paraId="01BE5638"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4A1C7DA4" w14:textId="77777777" w:rsidR="00617F29" w:rsidRDefault="00000000">
            <w:pPr>
              <w:spacing w:before="40" w:after="40" w:line="280" w:lineRule="auto"/>
            </w:pPr>
            <w:r>
              <w:rPr>
                <w:color w:val="000000"/>
                <w:sz w:val="20"/>
                <w:szCs w:val="20"/>
              </w:rPr>
              <w:t>CRO / Risk Reviewer</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420CD7C4" w14:textId="77777777" w:rsidR="00617F29" w:rsidRDefault="00000000">
            <w:pPr>
              <w:spacing w:before="40" w:after="40" w:line="280" w:lineRule="auto"/>
            </w:pPr>
            <w:r>
              <w:rPr>
                <w:color w:val="000000"/>
                <w:sz w:val="20"/>
                <w:szCs w:val="20"/>
              </w:rPr>
              <w:t xml:space="preserve">Independent reviewer and approver of all submitted assessments. Cannot </w:t>
            </w:r>
            <w:proofErr w:type="gramStart"/>
            <w:r>
              <w:rPr>
                <w:color w:val="000000"/>
                <w:sz w:val="20"/>
                <w:szCs w:val="20"/>
              </w:rPr>
              <w:t>approve</w:t>
            </w:r>
            <w:proofErr w:type="gramEnd"/>
            <w:r>
              <w:rPr>
                <w:color w:val="000000"/>
                <w:sz w:val="20"/>
                <w:szCs w:val="20"/>
              </w:rPr>
              <w:t xml:space="preserve"> own scoring. Approves framework version changes. Holds methodology authority. Reviews concentration alerts and portfolio-level escalations.</w:t>
            </w:r>
          </w:p>
        </w:tc>
      </w:tr>
      <w:tr w:rsidR="00617F29" w14:paraId="3943A4C6"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DFE57EA" w14:textId="77777777" w:rsidR="00617F29" w:rsidRDefault="00000000">
            <w:pPr>
              <w:spacing w:before="40" w:after="40" w:line="280" w:lineRule="auto"/>
            </w:pPr>
            <w:r>
              <w:rPr>
                <w:color w:val="000000"/>
                <w:sz w:val="20"/>
                <w:szCs w:val="20"/>
              </w:rPr>
              <w:t>Principal / CIO</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217FA758" w14:textId="77777777" w:rsidR="00617F29" w:rsidRDefault="00000000">
            <w:pPr>
              <w:spacing w:before="40" w:after="40" w:line="280" w:lineRule="auto"/>
            </w:pPr>
            <w:r>
              <w:rPr>
                <w:color w:val="000000"/>
                <w:sz w:val="20"/>
                <w:szCs w:val="20"/>
              </w:rPr>
              <w:t>Product owner. Monitors portfolio dashboards, reviews composite grade distribution, signs final viability determinations the Engine produced. Holds ultimate go/no-go authority on capital decisions; the Engine produces the auditable record on which that decision is based.</w:t>
            </w:r>
          </w:p>
        </w:tc>
      </w:tr>
      <w:tr w:rsidR="00617F29" w14:paraId="52937053"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315168B" w14:textId="77777777" w:rsidR="00617F29" w:rsidRDefault="00000000">
            <w:pPr>
              <w:spacing w:before="40" w:after="40" w:line="280" w:lineRule="auto"/>
            </w:pPr>
            <w:r>
              <w:rPr>
                <w:color w:val="000000"/>
                <w:sz w:val="20"/>
                <w:szCs w:val="20"/>
              </w:rPr>
              <w:t>Chief Compliance Officer</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0B0ED1CE" w14:textId="77777777" w:rsidR="00617F29" w:rsidRDefault="00000000">
            <w:pPr>
              <w:spacing w:before="40" w:after="40" w:line="280" w:lineRule="auto"/>
            </w:pPr>
            <w:r>
              <w:rPr>
                <w:color w:val="000000"/>
                <w:sz w:val="20"/>
                <w:szCs w:val="20"/>
              </w:rPr>
              <w:t>Audit log custodian. Performs periodic recordkeeping inspections, confirms five/seven-year retention compliance, oversees SEC examination readiness, and reviews role-segregation enforcement.</w:t>
            </w:r>
          </w:p>
        </w:tc>
      </w:tr>
      <w:tr w:rsidR="00617F29" w14:paraId="49D68FAF"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D490B99" w14:textId="77777777" w:rsidR="00617F29" w:rsidRDefault="00000000">
            <w:pPr>
              <w:spacing w:before="40" w:after="40" w:line="280" w:lineRule="auto"/>
            </w:pPr>
            <w:r>
              <w:rPr>
                <w:color w:val="000000"/>
                <w:sz w:val="20"/>
                <w:szCs w:val="20"/>
              </w:rPr>
              <w:t>Future 2678 Entities</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64ED88D" w14:textId="77777777" w:rsidR="00617F29" w:rsidRDefault="00000000">
            <w:pPr>
              <w:spacing w:before="40" w:after="40" w:line="280" w:lineRule="auto"/>
            </w:pPr>
            <w:r>
              <w:rPr>
                <w:color w:val="000000"/>
                <w:sz w:val="20"/>
                <w:szCs w:val="20"/>
              </w:rPr>
              <w:t xml:space="preserve">Consume Risk Engine outputs via API (INT-001 through INT-007). The TokenCap Network and future TCM / TCA workflows query composite grades and portfolio metrics under documented data-sharing arrangements. The interface is mapped to the Universal </w:t>
            </w:r>
            <w:proofErr w:type="gramStart"/>
            <w:r>
              <w:rPr>
                <w:color w:val="000000"/>
                <w:sz w:val="20"/>
                <w:szCs w:val="20"/>
              </w:rPr>
              <w:t>taxonomy</w:t>
            </w:r>
            <w:proofErr w:type="gramEnd"/>
            <w:r>
              <w:rPr>
                <w:color w:val="000000"/>
                <w:sz w:val="20"/>
                <w:szCs w:val="20"/>
              </w:rPr>
              <w:t xml:space="preserve"> so any conforming vertical inherits the integration surface without bespoke plumbing.</w:t>
            </w:r>
          </w:p>
        </w:tc>
      </w:tr>
    </w:tbl>
    <w:p w14:paraId="47530D28" w14:textId="77777777" w:rsidR="00617F29" w:rsidRDefault="00617F29">
      <w:pPr>
        <w:spacing w:after="80" w:line="300" w:lineRule="auto"/>
      </w:pPr>
    </w:p>
    <w:p w14:paraId="582C968A" w14:textId="77777777" w:rsidR="00617F29" w:rsidRDefault="00000000">
      <w:pPr>
        <w:spacing w:after="120" w:line="300" w:lineRule="auto"/>
      </w:pPr>
      <w:r>
        <w:rPr>
          <w:color w:val="000000"/>
        </w:rPr>
        <w:t xml:space="preserve">The Risk Engine is a separate system from the R&amp;I Reference Engine. The two are designed with a documented integration interface (the same INT-001 through INT-007 contract): the Reference Engine </w:t>
      </w:r>
      <w:r>
        <w:rPr>
          <w:color w:val="000000"/>
        </w:rPr>
        <w:lastRenderedPageBreak/>
        <w:t>supplies the cited reference grounding that informs scoring; the Risk Engine scores and grades. The Phase 3 build delivers a stubbed integration; full Risk Engine ↔ Reference Engine data exchange is a post-launch Phase 2 expansion on the Reference Engine roadmap.</w:t>
      </w:r>
    </w:p>
    <w:p w14:paraId="41981243" w14:textId="77777777" w:rsidR="00617F29" w:rsidRDefault="00000000">
      <w:pPr>
        <w:pStyle w:val="Heading1"/>
        <w:spacing w:before="360" w:after="180"/>
      </w:pPr>
      <w:r>
        <w:rPr>
          <w:b/>
          <w:bCs/>
          <w:color w:val="1F3864"/>
          <w:sz w:val="30"/>
          <w:szCs w:val="30"/>
        </w:rPr>
        <w:t>6</w:t>
      </w:r>
      <w:proofErr w:type="gramStart"/>
      <w:r>
        <w:rPr>
          <w:b/>
          <w:bCs/>
          <w:color w:val="1F3864"/>
          <w:sz w:val="30"/>
          <w:szCs w:val="30"/>
        </w:rPr>
        <w:t>.  Role</w:t>
      </w:r>
      <w:proofErr w:type="gramEnd"/>
      <w:r>
        <w:rPr>
          <w:b/>
          <w:bCs/>
          <w:color w:val="1F3864"/>
          <w:sz w:val="30"/>
          <w:szCs w:val="30"/>
        </w:rPr>
        <w:t xml:space="preserve"> in the 2678 Holdings Business Model</w:t>
      </w:r>
    </w:p>
    <w:p w14:paraId="02015DEC" w14:textId="77777777" w:rsidR="00617F29" w:rsidRDefault="00000000">
      <w:pPr>
        <w:spacing w:after="120" w:line="300" w:lineRule="auto"/>
      </w:pPr>
      <w:r>
        <w:rPr>
          <w:color w:val="000000"/>
        </w:rPr>
        <w:t>The Risk Engine is built at the 2678 Holdings layer but lives operationally inside TCA. It is the regulatory backbone of the firm — the system on which any future RIA examination, audit, or institutional diligence will rely. Its positioning is intentional: it addresses a problem common to every sector and every entity in the 2678 portfolio, and the architecture is designed to be consumed across sectors and entities rather than rebuilt in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17F29" w14:paraId="2A826D7E" w14:textId="77777777">
        <w:tblPrEx>
          <w:tblCellMar>
            <w:top w:w="0" w:type="dxa"/>
            <w:bottom w:w="0" w:type="dxa"/>
          </w:tblCellMar>
        </w:tblPrEx>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097CE873" w14:textId="77777777" w:rsidR="00617F29" w:rsidRDefault="00000000">
            <w:pPr>
              <w:spacing w:before="40" w:after="40" w:line="280" w:lineRule="auto"/>
            </w:pPr>
            <w:r>
              <w:rPr>
                <w:b/>
                <w:bCs/>
                <w:color w:val="FFFFFF"/>
                <w:sz w:val="20"/>
                <w:szCs w:val="20"/>
              </w:rPr>
              <w:t>Business Lever</w:t>
            </w:r>
          </w:p>
        </w:tc>
        <w:tc>
          <w:tcPr>
            <w:tcW w:w="6960" w:type="dxa"/>
            <w:tcBorders>
              <w:top w:val="single" w:sz="4" w:space="0" w:color="D0D0D0"/>
              <w:left w:val="single" w:sz="4" w:space="0" w:color="D0D0D0"/>
              <w:bottom w:val="single" w:sz="4" w:space="0" w:color="D0D0D0"/>
              <w:right w:val="single" w:sz="4" w:space="0" w:color="D0D0D0"/>
            </w:tcBorders>
            <w:shd w:val="clear" w:color="auto" w:fill="1F3864"/>
            <w:tcMar>
              <w:top w:w="100" w:type="dxa"/>
              <w:left w:w="140" w:type="dxa"/>
              <w:bottom w:w="100" w:type="dxa"/>
              <w:right w:w="140" w:type="dxa"/>
            </w:tcMar>
          </w:tcPr>
          <w:p w14:paraId="17EE42B9" w14:textId="77777777" w:rsidR="00617F29" w:rsidRDefault="00000000">
            <w:pPr>
              <w:spacing w:before="40" w:after="40" w:line="280" w:lineRule="auto"/>
            </w:pPr>
            <w:r>
              <w:rPr>
                <w:b/>
                <w:bCs/>
                <w:color w:val="FFFFFF"/>
                <w:sz w:val="20"/>
                <w:szCs w:val="20"/>
              </w:rPr>
              <w:t>Contribution to the 2678 Operating Model</w:t>
            </w:r>
          </w:p>
        </w:tc>
      </w:tr>
      <w:tr w:rsidR="00617F29" w14:paraId="4AAEBAB8"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68AF5180" w14:textId="77777777" w:rsidR="00617F29" w:rsidRDefault="00000000">
            <w:pPr>
              <w:spacing w:before="40" w:after="40" w:line="280" w:lineRule="auto"/>
            </w:pPr>
            <w:r>
              <w:rPr>
                <w:color w:val="000000"/>
                <w:sz w:val="20"/>
                <w:szCs w:val="20"/>
              </w:rPr>
              <w:t>Methodology Defensibility</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28D69213" w14:textId="77777777" w:rsidR="00617F29" w:rsidRDefault="00000000">
            <w:pPr>
              <w:spacing w:before="40" w:after="40" w:line="280" w:lineRule="auto"/>
            </w:pPr>
            <w:r>
              <w:rPr>
                <w:color w:val="000000"/>
                <w:sz w:val="20"/>
                <w:szCs w:val="20"/>
              </w:rPr>
              <w:t>A single canonical scoring methodology — encoded in software, version-locked, immutable per assessment — across every asset class TCA evaluates. No spreadsheet drift, no ad-hoc grading, no irreproducible records. This is what makes TCA’s outputs defensible to institutional investors, lenders, and regulators.</w:t>
            </w:r>
          </w:p>
        </w:tc>
      </w:tr>
      <w:tr w:rsidR="00617F29" w14:paraId="6E98E5D5"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2C3DFA30" w14:textId="77777777" w:rsidR="00617F29" w:rsidRDefault="00000000">
            <w:pPr>
              <w:spacing w:before="40" w:after="40" w:line="280" w:lineRule="auto"/>
            </w:pPr>
            <w:r>
              <w:rPr>
                <w:color w:val="000000"/>
                <w:sz w:val="20"/>
                <w:szCs w:val="20"/>
              </w:rPr>
              <w:t>Books-and-Records Compliance</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60B3D901" w14:textId="77777777" w:rsidR="00617F29" w:rsidRDefault="00000000">
            <w:pPr>
              <w:spacing w:before="40" w:after="40" w:line="280" w:lineRule="auto"/>
            </w:pPr>
            <w:r>
              <w:rPr>
                <w:color w:val="000000"/>
                <w:sz w:val="20"/>
                <w:szCs w:val="20"/>
              </w:rPr>
              <w:t xml:space="preserve">Direct satisfaction of SEC Rule 204-2 (17 C.F.R. § 275.204-2) recordkeeping for the risk research function. Immutable audit log, structured retention, </w:t>
            </w:r>
            <w:proofErr w:type="spellStart"/>
            <w:r>
              <w:rPr>
                <w:color w:val="000000"/>
                <w:sz w:val="20"/>
                <w:szCs w:val="20"/>
              </w:rPr>
              <w:t>queryable</w:t>
            </w:r>
            <w:proofErr w:type="spellEnd"/>
            <w:r>
              <w:rPr>
                <w:color w:val="000000"/>
                <w:sz w:val="20"/>
                <w:szCs w:val="20"/>
              </w:rPr>
              <w:t xml:space="preserve"> provenance, role-segregation enforcement — every regulatory examination requirement on the Risk Function maps to a feature of the Engine.</w:t>
            </w:r>
          </w:p>
        </w:tc>
      </w:tr>
      <w:tr w:rsidR="00617F29" w14:paraId="6BC392B4"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AB620D9" w14:textId="77777777" w:rsidR="00617F29" w:rsidRDefault="00000000">
            <w:pPr>
              <w:spacing w:before="40" w:after="40" w:line="280" w:lineRule="auto"/>
            </w:pPr>
            <w:r>
              <w:rPr>
                <w:color w:val="000000"/>
                <w:sz w:val="20"/>
                <w:szCs w:val="20"/>
              </w:rPr>
              <w:t>Cycle-Time Compression</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38172A6E" w14:textId="77777777" w:rsidR="00617F29" w:rsidRDefault="00000000">
            <w:pPr>
              <w:spacing w:before="40" w:after="40" w:line="280" w:lineRule="auto"/>
            </w:pPr>
            <w:r>
              <w:rPr>
                <w:color w:val="000000"/>
                <w:sz w:val="20"/>
                <w:szCs w:val="20"/>
              </w:rPr>
              <w:t>Reduces the analyst hours required to produce, review, and lock a project risk assessment — across every sector — to a single governed workflow. Enables the Risk Function to scale with the project pipeline without linear headcount growth, and without sacrificing methodology fidelity.</w:t>
            </w:r>
          </w:p>
        </w:tc>
      </w:tr>
      <w:tr w:rsidR="00617F29" w14:paraId="194ECC8F"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48DFEDF0" w14:textId="77777777" w:rsidR="00617F29" w:rsidRDefault="00000000">
            <w:pPr>
              <w:spacing w:before="40" w:after="40" w:line="280" w:lineRule="auto"/>
            </w:pPr>
            <w:r>
              <w:rPr>
                <w:color w:val="000000"/>
                <w:sz w:val="20"/>
                <w:szCs w:val="20"/>
              </w:rPr>
              <w:t>Cross-Sector &amp; Cross-Entity Leverage</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51B7F56A" w14:textId="77777777" w:rsidR="00617F29" w:rsidRDefault="00000000">
            <w:pPr>
              <w:spacing w:before="40" w:after="40" w:line="280" w:lineRule="auto"/>
            </w:pPr>
            <w:r>
              <w:rPr>
                <w:color w:val="000000"/>
                <w:sz w:val="20"/>
                <w:szCs w:val="20"/>
              </w:rPr>
              <w:t xml:space="preserve">Built once at the 2678 Holdings layer, consumed across TCA, TCN, TCM, and every sector </w:t>
            </w:r>
            <w:proofErr w:type="gramStart"/>
            <w:r>
              <w:rPr>
                <w:color w:val="000000"/>
                <w:sz w:val="20"/>
                <w:szCs w:val="20"/>
              </w:rPr>
              <w:t>vertical</w:t>
            </w:r>
            <w:proofErr w:type="gramEnd"/>
            <w:r>
              <w:rPr>
                <w:color w:val="000000"/>
                <w:sz w:val="20"/>
                <w:szCs w:val="20"/>
              </w:rPr>
              <w:t>. A single Engine, governed by one Universal Framework, scores E&amp;P, Renewables, Real Estate, and Technology projects — no duplicated scoring infrastructure, no inconsistent grading scales between sectors or entities.</w:t>
            </w:r>
          </w:p>
        </w:tc>
      </w:tr>
      <w:tr w:rsidR="00617F29" w14:paraId="32830F80"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7F0A56BF" w14:textId="77777777" w:rsidR="00617F29" w:rsidRDefault="00000000">
            <w:pPr>
              <w:spacing w:before="40" w:after="40" w:line="280" w:lineRule="auto"/>
            </w:pPr>
            <w:r>
              <w:rPr>
                <w:color w:val="000000"/>
                <w:sz w:val="20"/>
                <w:szCs w:val="20"/>
              </w:rPr>
              <w:t>Extensibility</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4AAEE48F" w14:textId="77777777" w:rsidR="00617F29" w:rsidRDefault="00000000">
            <w:pPr>
              <w:spacing w:before="40" w:after="40" w:line="280" w:lineRule="auto"/>
            </w:pPr>
            <w:r>
              <w:rPr>
                <w:color w:val="000000"/>
                <w:sz w:val="20"/>
                <w:szCs w:val="20"/>
              </w:rPr>
              <w:t xml:space="preserve">New sectors are added by registering a new vertical framework against the Universal taxonomy — not by rebuilding the Engine. Each new vertical inherits the </w:t>
            </w:r>
            <w:proofErr w:type="gramStart"/>
            <w:r>
              <w:rPr>
                <w:color w:val="000000"/>
                <w:sz w:val="20"/>
                <w:szCs w:val="20"/>
              </w:rPr>
              <w:t>existing scoring</w:t>
            </w:r>
            <w:proofErr w:type="gramEnd"/>
            <w:r>
              <w:rPr>
                <w:color w:val="000000"/>
                <w:sz w:val="20"/>
                <w:szCs w:val="20"/>
              </w:rPr>
              <w:t xml:space="preserve"> scale, audit log, workflow gates, dashboard, and API surface.</w:t>
            </w:r>
          </w:p>
        </w:tc>
      </w:tr>
      <w:tr w:rsidR="00617F29" w14:paraId="030D354C" w14:textId="77777777">
        <w:tblPrEx>
          <w:tblCellMar>
            <w:top w:w="0" w:type="dxa"/>
            <w:bottom w:w="0" w:type="dxa"/>
          </w:tblCellMar>
        </w:tblPrEx>
        <w:tc>
          <w:tcPr>
            <w:tcW w:w="240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68F67B43" w14:textId="77777777" w:rsidR="00617F29" w:rsidRDefault="00000000">
            <w:pPr>
              <w:spacing w:before="40" w:after="40" w:line="280" w:lineRule="auto"/>
            </w:pPr>
            <w:r>
              <w:rPr>
                <w:color w:val="000000"/>
                <w:sz w:val="20"/>
                <w:szCs w:val="20"/>
              </w:rPr>
              <w:t>Investor Signaling Value</w:t>
            </w:r>
          </w:p>
        </w:tc>
        <w:tc>
          <w:tcPr>
            <w:tcW w:w="6960" w:type="dxa"/>
            <w:tcBorders>
              <w:top w:val="single" w:sz="4" w:space="0" w:color="D0D0D0"/>
              <w:left w:val="single" w:sz="4" w:space="0" w:color="D0D0D0"/>
              <w:bottom w:val="single" w:sz="4" w:space="0" w:color="D0D0D0"/>
              <w:right w:val="single" w:sz="4" w:space="0" w:color="D0D0D0"/>
            </w:tcBorders>
            <w:tcMar>
              <w:top w:w="100" w:type="dxa"/>
              <w:left w:w="140" w:type="dxa"/>
              <w:bottom w:w="100" w:type="dxa"/>
              <w:right w:w="140" w:type="dxa"/>
            </w:tcMar>
          </w:tcPr>
          <w:p w14:paraId="52E3AA68" w14:textId="77777777" w:rsidR="00617F29" w:rsidRDefault="00000000">
            <w:pPr>
              <w:spacing w:before="40" w:after="40" w:line="280" w:lineRule="auto"/>
            </w:pPr>
            <w:r>
              <w:rPr>
                <w:color w:val="000000"/>
                <w:sz w:val="20"/>
                <w:szCs w:val="20"/>
              </w:rPr>
              <w:t>Demonstrates institutional-grade discipline, structural independence of analysis and risk, and audit-ready infrastructure to limited partners, lenders, and prospective clients. The Engine is itself a marketing and diligence asset.</w:t>
            </w:r>
          </w:p>
        </w:tc>
      </w:tr>
    </w:tbl>
    <w:p w14:paraId="2CC24C19" w14:textId="77777777" w:rsidR="00617F29" w:rsidRDefault="00617F29">
      <w:pPr>
        <w:spacing w:after="80" w:line="300" w:lineRule="auto"/>
      </w:pPr>
    </w:p>
    <w:p w14:paraId="34EE2A5C" w14:textId="77777777" w:rsidR="00617F29" w:rsidRDefault="00000000">
      <w:pPr>
        <w:spacing w:after="120" w:line="300" w:lineRule="auto"/>
      </w:pPr>
      <w:r>
        <w:rPr>
          <w:color w:val="000000"/>
        </w:rPr>
        <w:t xml:space="preserve">Together with the R&amp;I Reference Engine, the Risk Engine is the operational expression of the 2678 thesis: that the right small system — built by Claude with a contractor for the infrastructure-specific work, governed by a single Universal Framework, and extended sector by sector — produces a more </w:t>
      </w:r>
      <w:r>
        <w:rPr>
          <w:color w:val="000000"/>
        </w:rPr>
        <w:lastRenderedPageBreak/>
        <w:t>auditable, more maintainable, and substantially less expensive outcome than the conventional vendor-led, single-sector, professional-services route. Where the Reference Engine is the firm’s research grounding layer, the Risk Engine is the firm’s regulated decision-of-record layer.</w:t>
      </w:r>
    </w:p>
    <w:p w14:paraId="2FDBDCA5" w14:textId="77777777" w:rsidR="00617F29" w:rsidRDefault="00000000">
      <w:pPr>
        <w:pStyle w:val="Heading1"/>
        <w:spacing w:before="360" w:after="180"/>
      </w:pPr>
      <w:r>
        <w:rPr>
          <w:b/>
          <w:bCs/>
          <w:color w:val="1F3864"/>
          <w:sz w:val="30"/>
          <w:szCs w:val="30"/>
        </w:rPr>
        <w:t>7</w:t>
      </w:r>
      <w:proofErr w:type="gramStart"/>
      <w:r>
        <w:rPr>
          <w:b/>
          <w:bCs/>
          <w:color w:val="1F3864"/>
          <w:sz w:val="30"/>
          <w:szCs w:val="30"/>
        </w:rPr>
        <w:t>.  Current</w:t>
      </w:r>
      <w:proofErr w:type="gramEnd"/>
      <w:r>
        <w:rPr>
          <w:b/>
          <w:bCs/>
          <w:color w:val="1F3864"/>
          <w:sz w:val="30"/>
          <w:szCs w:val="30"/>
        </w:rPr>
        <w:t xml:space="preserve"> Status and Next Steps</w:t>
      </w:r>
    </w:p>
    <w:p w14:paraId="20AC7BE3" w14:textId="77777777" w:rsidR="00617F29" w:rsidRDefault="00000000">
      <w:pPr>
        <w:spacing w:after="120" w:line="300" w:lineRule="auto"/>
      </w:pPr>
      <w:r>
        <w:rPr>
          <w:color w:val="000000"/>
        </w:rPr>
        <w:t>As of this memo, the five active risk frameworks are complete and registered in the Framework Directory of TCA-UNIV-001-v1.0:</w:t>
      </w:r>
    </w:p>
    <w:p w14:paraId="1419740E" w14:textId="77777777" w:rsidR="00617F29" w:rsidRDefault="00000000">
      <w:pPr>
        <w:pStyle w:val="ListParagraph"/>
        <w:numPr>
          <w:ilvl w:val="0"/>
          <w:numId w:val="2"/>
        </w:numPr>
        <w:spacing w:before="60" w:after="120" w:line="300" w:lineRule="auto"/>
      </w:pPr>
      <w:r>
        <w:rPr>
          <w:color w:val="000000"/>
        </w:rPr>
        <w:t>TCA-UNIV-001-v1.0 — Universal Cross-Industry Risk Framework (master reference, 3 generic stages)</w:t>
      </w:r>
    </w:p>
    <w:p w14:paraId="2F860698" w14:textId="77777777" w:rsidR="00617F29" w:rsidRDefault="00000000">
      <w:pPr>
        <w:pStyle w:val="ListParagraph"/>
        <w:numPr>
          <w:ilvl w:val="0"/>
          <w:numId w:val="2"/>
        </w:numPr>
        <w:spacing w:before="60" w:after="120" w:line="300" w:lineRule="auto"/>
      </w:pPr>
      <w:r>
        <w:rPr>
          <w:color w:val="000000"/>
        </w:rPr>
        <w:t>TCA-EP-001-v1.0 — E&amp;P Upstream Risk Framework (6-stage continuum: Virgin Exploration → Producing Wells)</w:t>
      </w:r>
    </w:p>
    <w:p w14:paraId="43B7AFF6" w14:textId="77777777" w:rsidR="00617F29" w:rsidRDefault="00000000">
      <w:pPr>
        <w:pStyle w:val="ListParagraph"/>
        <w:numPr>
          <w:ilvl w:val="0"/>
          <w:numId w:val="2"/>
        </w:numPr>
        <w:spacing w:before="60" w:after="120" w:line="300" w:lineRule="auto"/>
      </w:pPr>
      <w:r>
        <w:rPr>
          <w:color w:val="000000"/>
        </w:rPr>
        <w:t>TCA-REN-001-v1.0 — Renewables Risk Framework (3-stage: Early Development / Construction / Operating)</w:t>
      </w:r>
    </w:p>
    <w:p w14:paraId="78E659CA" w14:textId="77777777" w:rsidR="00617F29" w:rsidRDefault="00000000">
      <w:pPr>
        <w:pStyle w:val="ListParagraph"/>
        <w:numPr>
          <w:ilvl w:val="0"/>
          <w:numId w:val="2"/>
        </w:numPr>
        <w:spacing w:before="60" w:after="120" w:line="300" w:lineRule="auto"/>
      </w:pPr>
      <w:r>
        <w:rPr>
          <w:color w:val="000000"/>
        </w:rPr>
        <w:t xml:space="preserve">TCA-RE-001-v1.0 — Real Estate Risk Framework (3-stage: Acquisition / Development / </w:t>
      </w:r>
      <w:proofErr w:type="spellStart"/>
      <w:r>
        <w:rPr>
          <w:color w:val="000000"/>
        </w:rPr>
        <w:t>Stabilised</w:t>
      </w:r>
      <w:proofErr w:type="spellEnd"/>
      <w:r>
        <w:rPr>
          <w:color w:val="000000"/>
        </w:rPr>
        <w:t>)</w:t>
      </w:r>
    </w:p>
    <w:p w14:paraId="380F8A07" w14:textId="77777777" w:rsidR="00617F29" w:rsidRDefault="00000000">
      <w:pPr>
        <w:pStyle w:val="ListParagraph"/>
        <w:numPr>
          <w:ilvl w:val="0"/>
          <w:numId w:val="2"/>
        </w:numPr>
        <w:spacing w:before="60" w:after="120" w:line="300" w:lineRule="auto"/>
      </w:pPr>
      <w:r>
        <w:rPr>
          <w:color w:val="000000"/>
        </w:rPr>
        <w:t>TCA-TECH-001-v1.0 — Technology Risk Framework (3-stage: Early / Growth / Mature)</w:t>
      </w:r>
    </w:p>
    <w:p w14:paraId="472EFAE5" w14:textId="77777777" w:rsidR="00617F29" w:rsidRDefault="00000000">
      <w:pPr>
        <w:spacing w:after="120" w:line="300" w:lineRule="auto"/>
      </w:pPr>
      <w:r>
        <w:rPr>
          <w:color w:val="000000"/>
        </w:rPr>
        <w:t xml:space="preserve">The Risk Engine working prototype encodes </w:t>
      </w:r>
      <w:proofErr w:type="gramStart"/>
      <w:r>
        <w:rPr>
          <w:color w:val="000000"/>
        </w:rPr>
        <w:t>the Universal</w:t>
      </w:r>
      <w:proofErr w:type="gramEnd"/>
      <w:r>
        <w:rPr>
          <w:color w:val="000000"/>
        </w:rPr>
        <w:t xml:space="preserve"> taxonomy, the four vertical frameworks, and the scoring mathematics in functional form. Live deal assessments — including the Henderson County Cotton Valley Multi-Reservoir Development Prospect (TCA-VOR-2026-001, TCA-B / 2.35) and the Trinidad South Cotton Valley Development Program (TCA-E&amp;P-2026-031, TCA-C / 3.1) — have been scored through the methodology in interim Excel and HTML-prototype form ahead of the production application cutover.</w:t>
      </w:r>
    </w:p>
    <w:p w14:paraId="705C008D" w14:textId="77777777" w:rsidR="00617F29" w:rsidRDefault="00000000">
      <w:pPr>
        <w:spacing w:after="120" w:line="300" w:lineRule="auto"/>
      </w:pPr>
      <w:r>
        <w:rPr>
          <w:color w:val="000000"/>
        </w:rPr>
        <w:t xml:space="preserve">The Risk Engine Work Plan (TCA-WORKPLAN-2026-RSK-001) sequences the remaining production-cutover workstreams: Phase 3 (portfolio dashboards, heat maps, VOR export), Phase 4 (API exposure, hardening, audit log immutability validation), and pre-production review of role-segregation enforcement and audit log </w:t>
      </w:r>
      <w:proofErr w:type="spellStart"/>
      <w:r>
        <w:rPr>
          <w:color w:val="000000"/>
        </w:rPr>
        <w:t>queryability</w:t>
      </w:r>
      <w:proofErr w:type="spellEnd"/>
      <w:r>
        <w:rPr>
          <w:color w:val="000000"/>
        </w:rPr>
        <w:t>. CRO sign-off on TCA-UNIV-001-v1.0 and each vertical framework is the predicate for moving any locked assessment from interim spreadsheet to the production Engine.</w:t>
      </w:r>
    </w:p>
    <w:p w14:paraId="148E0781" w14:textId="77777777" w:rsidR="00617F29" w:rsidRDefault="00000000">
      <w:pPr>
        <w:spacing w:after="120" w:line="300" w:lineRule="auto"/>
      </w:pPr>
      <w:r>
        <w:rPr>
          <w:color w:val="000000"/>
        </w:rPr>
        <w:t>Critical-path items ahead of production launch are: (</w:t>
      </w:r>
      <w:proofErr w:type="spellStart"/>
      <w:r>
        <w:rPr>
          <w:color w:val="000000"/>
        </w:rPr>
        <w:t>i</w:t>
      </w:r>
      <w:proofErr w:type="spellEnd"/>
      <w:r>
        <w:rPr>
          <w:color w:val="000000"/>
        </w:rPr>
        <w:t xml:space="preserve">) database hosting and disaster-recovery configuration, (ii) MFA and cybersecurity baseline confirmation under SEC Rule 206(4)-9, (iii) audit-log immutability and </w:t>
      </w:r>
      <w:proofErr w:type="spellStart"/>
      <w:r>
        <w:rPr>
          <w:color w:val="000000"/>
        </w:rPr>
        <w:t>queryability</w:t>
      </w:r>
      <w:proofErr w:type="spellEnd"/>
      <w:r>
        <w:rPr>
          <w:color w:val="000000"/>
        </w:rPr>
        <w:t xml:space="preserve"> validation, (iv) the Reference Engine ↔ Risk Engine stubbed integration via INT-001, and (v) Chief Compliance Officer sign-off on the recordkeeping architecture. Migration of historical assessments scored in interim spreadsheet form will follow the production cutover under a documented replay protocol.</w:t>
      </w:r>
    </w:p>
    <w:p w14:paraId="27C29118" w14:textId="77777777" w:rsidR="00617F29" w:rsidRDefault="00000000">
      <w:pPr>
        <w:spacing w:after="120" w:line="300" w:lineRule="auto"/>
      </w:pPr>
      <w:r>
        <w:rPr>
          <w:color w:val="000000"/>
        </w:rPr>
        <w:t>Questions, proposed amendments, or corrections to this summary should be directed to MRB.</w:t>
      </w:r>
    </w:p>
    <w:p w14:paraId="6E450628" w14:textId="77777777" w:rsidR="00617F29" w:rsidRDefault="00617F29">
      <w:pPr>
        <w:spacing w:before="200" w:after="120" w:line="300" w:lineRule="auto"/>
      </w:pPr>
    </w:p>
    <w:p w14:paraId="690A0E76" w14:textId="77777777" w:rsidR="00617F29" w:rsidRDefault="00000000">
      <w:pPr>
        <w:spacing w:after="120" w:line="300" w:lineRule="auto"/>
      </w:pPr>
      <w:r>
        <w:rPr>
          <w:b/>
          <w:bCs/>
          <w:color w:val="000000"/>
        </w:rPr>
        <w:t>MRB</w:t>
      </w:r>
    </w:p>
    <w:p w14:paraId="41D9AE4B" w14:textId="77777777" w:rsidR="00617F29" w:rsidRDefault="00000000">
      <w:pPr>
        <w:spacing w:after="120" w:line="300" w:lineRule="auto"/>
      </w:pPr>
      <w:r>
        <w:rPr>
          <w:i/>
          <w:iCs/>
          <w:color w:val="595959"/>
        </w:rPr>
        <w:lastRenderedPageBreak/>
        <w:t>Principal, 2678 Holdings LLC</w:t>
      </w:r>
    </w:p>
    <w:p w14:paraId="57003C86" w14:textId="77777777" w:rsidR="00617F29" w:rsidRDefault="00617F29">
      <w:pPr>
        <w:spacing w:after="120" w:line="300" w:lineRule="auto"/>
      </w:pPr>
    </w:p>
    <w:p w14:paraId="3F1ED33F" w14:textId="77777777" w:rsidR="00617F29" w:rsidRDefault="00000000">
      <w:pPr>
        <w:spacing w:after="120" w:line="300" w:lineRule="auto"/>
      </w:pPr>
      <w:r>
        <w:rPr>
          <w:i/>
          <w:iCs/>
          <w:color w:val="595959"/>
        </w:rPr>
        <w:t xml:space="preserve">TokenCap Advisors </w:t>
      </w:r>
      <w:proofErr w:type="gramStart"/>
      <w:r>
        <w:rPr>
          <w:i/>
          <w:iCs/>
          <w:color w:val="595959"/>
        </w:rPr>
        <w:t>LLC  |</w:t>
      </w:r>
      <w:proofErr w:type="gramEnd"/>
      <w:r>
        <w:rPr>
          <w:i/>
          <w:iCs/>
          <w:color w:val="595959"/>
        </w:rPr>
        <w:t xml:space="preserve">  A 2678 Holdings LLC Company</w:t>
      </w:r>
    </w:p>
    <w:p w14:paraId="1C9AE750" w14:textId="77777777" w:rsidR="00617F29" w:rsidRDefault="00000000">
      <w:pPr>
        <w:spacing w:after="120" w:line="300" w:lineRule="auto"/>
      </w:pPr>
      <w:r>
        <w:rPr>
          <w:i/>
          <w:iCs/>
          <w:color w:val="595959"/>
        </w:rPr>
        <w:t>TCA-MEMO-2026-RSK-SUMMARY-001 (Rev. 1</w:t>
      </w:r>
      <w:proofErr w:type="gramStart"/>
      <w:r>
        <w:rPr>
          <w:i/>
          <w:iCs/>
          <w:color w:val="595959"/>
        </w:rPr>
        <w:t>)  |</w:t>
      </w:r>
      <w:proofErr w:type="gramEnd"/>
      <w:r>
        <w:rPr>
          <w:i/>
          <w:iCs/>
          <w:color w:val="595959"/>
        </w:rPr>
        <w:t xml:space="preserve">  May </w:t>
      </w:r>
      <w:proofErr w:type="gramStart"/>
      <w:r>
        <w:rPr>
          <w:i/>
          <w:iCs/>
          <w:color w:val="595959"/>
        </w:rPr>
        <w:t>2026  |</w:t>
      </w:r>
      <w:proofErr w:type="gramEnd"/>
      <w:r>
        <w:rPr>
          <w:i/>
          <w:iCs/>
          <w:color w:val="595959"/>
        </w:rPr>
        <w:t xml:space="preserve">  CONFIDENTIAL</w:t>
      </w:r>
    </w:p>
    <w:sectPr w:rsidR="00617F29">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ADFE5" w14:textId="77777777" w:rsidR="00CF2749" w:rsidRDefault="00CF2749">
      <w:r>
        <w:separator/>
      </w:r>
    </w:p>
  </w:endnote>
  <w:endnote w:type="continuationSeparator" w:id="0">
    <w:p w14:paraId="7380466B" w14:textId="77777777" w:rsidR="00CF2749" w:rsidRDefault="00CF2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C3DB" w14:textId="77777777" w:rsidR="00617F29" w:rsidRDefault="00000000">
    <w:pPr>
      <w:jc w:val="center"/>
    </w:pPr>
    <w:r>
      <w:rPr>
        <w:i/>
        <w:iCs/>
        <w:color w:val="595959"/>
        <w:sz w:val="18"/>
        <w:szCs w:val="18"/>
      </w:rPr>
      <w:t xml:space="preserve">TokenCap Advisors </w:t>
    </w:r>
    <w:proofErr w:type="gramStart"/>
    <w:r>
      <w:rPr>
        <w:i/>
        <w:iCs/>
        <w:color w:val="595959"/>
        <w:sz w:val="18"/>
        <w:szCs w:val="18"/>
      </w:rPr>
      <w:t>LLC  |</w:t>
    </w:r>
    <w:proofErr w:type="gramEnd"/>
    <w:r>
      <w:rPr>
        <w:i/>
        <w:iCs/>
        <w:color w:val="595959"/>
        <w:sz w:val="18"/>
        <w:szCs w:val="18"/>
      </w:rPr>
      <w:t xml:space="preserve">  A 2678 Holdings LLC </w:t>
    </w:r>
    <w:proofErr w:type="gramStart"/>
    <w:r>
      <w:rPr>
        <w:i/>
        <w:iCs/>
        <w:color w:val="595959"/>
        <w:sz w:val="18"/>
        <w:szCs w:val="18"/>
      </w:rPr>
      <w:t>Company  |</w:t>
    </w:r>
    <w:proofErr w:type="gramEnd"/>
    <w:r>
      <w:rPr>
        <w:i/>
        <w:iCs/>
        <w:color w:val="595959"/>
        <w:sz w:val="18"/>
        <w:szCs w:val="18"/>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C7C43" w14:textId="77777777" w:rsidR="00CF2749" w:rsidRDefault="00CF2749">
      <w:r>
        <w:separator/>
      </w:r>
    </w:p>
  </w:footnote>
  <w:footnote w:type="continuationSeparator" w:id="0">
    <w:p w14:paraId="75903B72" w14:textId="77777777" w:rsidR="00CF2749" w:rsidRDefault="00CF2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379"/>
    <w:multiLevelType w:val="hybridMultilevel"/>
    <w:tmpl w:val="77BCD5C6"/>
    <w:lvl w:ilvl="0" w:tplc="8EB88F1E">
      <w:start w:val="1"/>
      <w:numFmt w:val="bullet"/>
      <w:lvlText w:val="●"/>
      <w:lvlJc w:val="left"/>
      <w:pPr>
        <w:ind w:left="720" w:hanging="360"/>
      </w:pPr>
    </w:lvl>
    <w:lvl w:ilvl="1" w:tplc="04FEBCF6">
      <w:start w:val="1"/>
      <w:numFmt w:val="bullet"/>
      <w:lvlText w:val="○"/>
      <w:lvlJc w:val="left"/>
      <w:pPr>
        <w:ind w:left="1440" w:hanging="360"/>
      </w:pPr>
    </w:lvl>
    <w:lvl w:ilvl="2" w:tplc="DE9C98B2">
      <w:start w:val="1"/>
      <w:numFmt w:val="bullet"/>
      <w:lvlText w:val="■"/>
      <w:lvlJc w:val="left"/>
      <w:pPr>
        <w:ind w:left="2160" w:hanging="360"/>
      </w:pPr>
    </w:lvl>
    <w:lvl w:ilvl="3" w:tplc="73EA41AA">
      <w:start w:val="1"/>
      <w:numFmt w:val="bullet"/>
      <w:lvlText w:val="●"/>
      <w:lvlJc w:val="left"/>
      <w:pPr>
        <w:ind w:left="2880" w:hanging="360"/>
      </w:pPr>
    </w:lvl>
    <w:lvl w:ilvl="4" w:tplc="A2D0ABC0">
      <w:start w:val="1"/>
      <w:numFmt w:val="bullet"/>
      <w:lvlText w:val="○"/>
      <w:lvlJc w:val="left"/>
      <w:pPr>
        <w:ind w:left="3600" w:hanging="360"/>
      </w:pPr>
    </w:lvl>
    <w:lvl w:ilvl="5" w:tplc="89642904">
      <w:start w:val="1"/>
      <w:numFmt w:val="bullet"/>
      <w:lvlText w:val="■"/>
      <w:lvlJc w:val="left"/>
      <w:pPr>
        <w:ind w:left="4320" w:hanging="360"/>
      </w:pPr>
    </w:lvl>
    <w:lvl w:ilvl="6" w:tplc="F8CC44BC">
      <w:start w:val="1"/>
      <w:numFmt w:val="bullet"/>
      <w:lvlText w:val="●"/>
      <w:lvlJc w:val="left"/>
      <w:pPr>
        <w:ind w:left="5040" w:hanging="360"/>
      </w:pPr>
    </w:lvl>
    <w:lvl w:ilvl="7" w:tplc="659813EE">
      <w:start w:val="1"/>
      <w:numFmt w:val="bullet"/>
      <w:lvlText w:val="●"/>
      <w:lvlJc w:val="left"/>
      <w:pPr>
        <w:ind w:left="5760" w:hanging="360"/>
      </w:pPr>
    </w:lvl>
    <w:lvl w:ilvl="8" w:tplc="0D92EC5C">
      <w:start w:val="1"/>
      <w:numFmt w:val="bullet"/>
      <w:lvlText w:val="●"/>
      <w:lvlJc w:val="left"/>
      <w:pPr>
        <w:ind w:left="6480" w:hanging="360"/>
      </w:pPr>
    </w:lvl>
  </w:abstractNum>
  <w:abstractNum w:abstractNumId="1" w15:restartNumberingAfterBreak="0">
    <w:nsid w:val="2D87613C"/>
    <w:multiLevelType w:val="hybridMultilevel"/>
    <w:tmpl w:val="172EC7D2"/>
    <w:lvl w:ilvl="0" w:tplc="3E64F4DC">
      <w:start w:val="1"/>
      <w:numFmt w:val="bullet"/>
      <w:lvlText w:val="•"/>
      <w:lvlJc w:val="left"/>
      <w:pPr>
        <w:ind w:left="540" w:hanging="270"/>
      </w:pPr>
    </w:lvl>
    <w:lvl w:ilvl="1" w:tplc="3C7CDBBC">
      <w:numFmt w:val="decimal"/>
      <w:lvlText w:val=""/>
      <w:lvlJc w:val="left"/>
    </w:lvl>
    <w:lvl w:ilvl="2" w:tplc="7C008D70">
      <w:numFmt w:val="decimal"/>
      <w:lvlText w:val=""/>
      <w:lvlJc w:val="left"/>
    </w:lvl>
    <w:lvl w:ilvl="3" w:tplc="6A7A5C76">
      <w:numFmt w:val="decimal"/>
      <w:lvlText w:val=""/>
      <w:lvlJc w:val="left"/>
    </w:lvl>
    <w:lvl w:ilvl="4" w:tplc="70668B98">
      <w:numFmt w:val="decimal"/>
      <w:lvlText w:val=""/>
      <w:lvlJc w:val="left"/>
    </w:lvl>
    <w:lvl w:ilvl="5" w:tplc="B442E7C6">
      <w:numFmt w:val="decimal"/>
      <w:lvlText w:val=""/>
      <w:lvlJc w:val="left"/>
    </w:lvl>
    <w:lvl w:ilvl="6" w:tplc="5208502E">
      <w:numFmt w:val="decimal"/>
      <w:lvlText w:val=""/>
      <w:lvlJc w:val="left"/>
    </w:lvl>
    <w:lvl w:ilvl="7" w:tplc="768E854C">
      <w:numFmt w:val="decimal"/>
      <w:lvlText w:val=""/>
      <w:lvlJc w:val="left"/>
    </w:lvl>
    <w:lvl w:ilvl="8" w:tplc="4CB07F58">
      <w:numFmt w:val="decimal"/>
      <w:lvlText w:val=""/>
      <w:lvlJc w:val="left"/>
    </w:lvl>
  </w:abstractNum>
  <w:num w:numId="1" w16cid:durableId="1239287930">
    <w:abstractNumId w:val="0"/>
    <w:lvlOverride w:ilvl="0">
      <w:startOverride w:val="1"/>
    </w:lvlOverride>
  </w:num>
  <w:num w:numId="2" w16cid:durableId="313069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F29"/>
    <w:rsid w:val="0024362F"/>
    <w:rsid w:val="00617F29"/>
    <w:rsid w:val="006F22DB"/>
    <w:rsid w:val="00CF2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86B54"/>
  <w15:docId w15:val="{A0F87FEA-C901-45E3-B396-EF09486A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2913</Words>
  <Characters>18238</Characters>
  <Application>Microsoft Office Word</Application>
  <DocSecurity>0</DocSecurity>
  <Lines>434</Lines>
  <Paragraphs>182</Paragraphs>
  <ScaleCrop>false</ScaleCrop>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TCA Risk Engine — Summary Memo</dc:title>
  <dc:creator>TokenCap Advisors LLC</dc:creator>
  <cp:lastModifiedBy>Michael Berry</cp:lastModifiedBy>
  <cp:revision>2</cp:revision>
  <dcterms:created xsi:type="dcterms:W3CDTF">2026-05-27T14:41:00Z</dcterms:created>
  <dcterms:modified xsi:type="dcterms:W3CDTF">2026-05-27T14:41:00Z</dcterms:modified>
</cp:coreProperties>
</file>