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322E1" w14:paraId="45D3B8D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727DA498" w14:textId="77777777" w:rsidR="00D322E1" w:rsidRDefault="00000000">
            <w:r>
              <w:rPr>
                <w:b/>
                <w:bCs/>
                <w:color w:val="FFFFFF"/>
                <w:sz w:val="28"/>
                <w:szCs w:val="28"/>
              </w:rPr>
              <w:t>TOKENCAP ADVISORS</w:t>
            </w:r>
          </w:p>
          <w:p w14:paraId="592043BE" w14:textId="77777777" w:rsidR="00D322E1" w:rsidRDefault="00000000">
            <w:r>
              <w:rPr>
                <w:color w:val="A8C4DF"/>
                <w:sz w:val="18"/>
                <w:szCs w:val="18"/>
              </w:rPr>
              <w:t>INTERNAL MEMORANDUM — CONFIDENTIAL</w:t>
            </w:r>
          </w:p>
        </w:tc>
      </w:tr>
    </w:tbl>
    <w:p w14:paraId="66673B17" w14:textId="77777777" w:rsidR="00D322E1" w:rsidRDefault="00D322E1">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5"/>
        <w:gridCol w:w="7855"/>
      </w:tblGrid>
      <w:tr w:rsidR="00D322E1" w14:paraId="5B4228E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152CE87" w14:textId="77777777" w:rsidR="00D322E1" w:rsidRDefault="00000000">
            <w:r>
              <w:rPr>
                <w:b/>
                <w:bCs/>
                <w:color w:val="1B3A5C"/>
              </w:rPr>
              <w:t>TO:</w:t>
            </w:r>
          </w:p>
        </w:tc>
        <w:tc>
          <w:tcPr>
            <w:tcW w:w="82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0C9DD79" w14:textId="77777777" w:rsidR="00D322E1" w:rsidRDefault="00000000">
            <w:r>
              <w:rPr>
                <w:color w:val="2C2C2C"/>
              </w:rPr>
              <w:t>Research &amp; Investment Function / Technology &amp; Operations</w:t>
            </w:r>
          </w:p>
        </w:tc>
      </w:tr>
      <w:tr w:rsidR="00D322E1" w14:paraId="5F2F345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428C7E5" w14:textId="77777777" w:rsidR="00D322E1" w:rsidRDefault="00000000">
            <w:r>
              <w:rPr>
                <w:b/>
                <w:bCs/>
                <w:color w:val="1B3A5C"/>
              </w:rPr>
              <w:t>FROM:</w:t>
            </w:r>
          </w:p>
        </w:tc>
        <w:tc>
          <w:tcPr>
            <w:tcW w:w="82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B89592E" w14:textId="77777777" w:rsidR="00D322E1" w:rsidRDefault="00000000">
            <w:r>
              <w:rPr>
                <w:color w:val="2C2C2C"/>
              </w:rPr>
              <w:t>Office of the Chief Risk Officer</w:t>
            </w:r>
          </w:p>
        </w:tc>
      </w:tr>
      <w:tr w:rsidR="00D322E1" w14:paraId="456D680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0F8E153" w14:textId="77777777" w:rsidR="00D322E1" w:rsidRDefault="00000000">
            <w:r>
              <w:rPr>
                <w:b/>
                <w:bCs/>
                <w:color w:val="1B3A5C"/>
              </w:rPr>
              <w:t>DATE:</w:t>
            </w:r>
          </w:p>
        </w:tc>
        <w:tc>
          <w:tcPr>
            <w:tcW w:w="82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E90B90" w14:textId="77777777" w:rsidR="00D322E1" w:rsidRDefault="00000000">
            <w:r>
              <w:rPr>
                <w:color w:val="2C2C2C"/>
              </w:rPr>
              <w:t>March 19, 2025</w:t>
            </w:r>
          </w:p>
        </w:tc>
      </w:tr>
      <w:tr w:rsidR="00D322E1" w14:paraId="1976879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13DCBA3" w14:textId="77777777" w:rsidR="00D322E1" w:rsidRDefault="00000000">
            <w:r>
              <w:rPr>
                <w:b/>
                <w:bCs/>
                <w:color w:val="1B3A5C"/>
              </w:rPr>
              <w:t>RE:</w:t>
            </w:r>
          </w:p>
        </w:tc>
        <w:tc>
          <w:tcPr>
            <w:tcW w:w="82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B9EAEF" w14:textId="77777777" w:rsidR="00D322E1" w:rsidRDefault="00000000">
            <w:r>
              <w:rPr>
                <w:color w:val="2C2C2C"/>
              </w:rPr>
              <w:t>Proposed Development of the TCA Risk Engine — Digitisation of the Risk Assessment Framework</w:t>
            </w:r>
          </w:p>
        </w:tc>
      </w:tr>
      <w:tr w:rsidR="00D322E1" w14:paraId="73F256B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33BE771" w14:textId="77777777" w:rsidR="00D322E1" w:rsidRDefault="00000000">
            <w:r>
              <w:rPr>
                <w:b/>
                <w:bCs/>
                <w:color w:val="1B3A5C"/>
              </w:rPr>
              <w:t>CLASSIFICATION:</w:t>
            </w:r>
          </w:p>
        </w:tc>
        <w:tc>
          <w:tcPr>
            <w:tcW w:w="82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C2AE079" w14:textId="77777777" w:rsidR="00D322E1" w:rsidRDefault="00000000">
            <w:r>
              <w:rPr>
                <w:color w:val="2C2C2C"/>
              </w:rPr>
              <w:t>Internal — Confidential</w:t>
            </w:r>
          </w:p>
        </w:tc>
      </w:tr>
    </w:tbl>
    <w:p w14:paraId="32F4FB94" w14:textId="77777777" w:rsidR="00D322E1" w:rsidRDefault="00D322E1">
      <w:pPr>
        <w:pBdr>
          <w:bottom w:val="single" w:sz="8" w:space="6" w:color="B8860B"/>
        </w:pBdr>
        <w:spacing w:before="160"/>
      </w:pPr>
    </w:p>
    <w:p w14:paraId="7B641BA1" w14:textId="77777777" w:rsidR="00D322E1" w:rsidRDefault="00D322E1">
      <w:pPr>
        <w:spacing w:before="160"/>
      </w:pPr>
    </w:p>
    <w:p w14:paraId="4A84D88A" w14:textId="77777777" w:rsidR="00D322E1" w:rsidRDefault="00000000">
      <w:pPr>
        <w:pStyle w:val="Heading1"/>
      </w:pPr>
      <w:r>
        <w:t>1.  Purpose</w:t>
      </w:r>
    </w:p>
    <w:p w14:paraId="68621301" w14:textId="77777777" w:rsidR="0033636A" w:rsidRDefault="0033636A">
      <w:pPr>
        <w:spacing w:before="60" w:after="100"/>
        <w:rPr>
          <w:color w:val="2C2C2C"/>
        </w:rPr>
      </w:pPr>
    </w:p>
    <w:p w14:paraId="6573F315" w14:textId="5C9201F6" w:rsidR="00D322E1" w:rsidRDefault="00000000">
      <w:pPr>
        <w:spacing w:before="60" w:after="100"/>
      </w:pPr>
      <w:r>
        <w:rPr>
          <w:color w:val="2C2C2C"/>
        </w:rPr>
        <w:t>This memorandum sets out the conceptual and operational basis for transforming TCA's existing spreadsheet-based risk assessment tool into a purpose-built, web-based application — the TCA Risk Engine. The objective is to deliver a governed, scalable, and auditable platform that enables analysts in the Research and Investment (R&amp;I) Function to conduct structured risk evaluations of upstream oil and gas projects in a manner consistent with TCA's Structured Risk Intelligence Framework.</w:t>
      </w:r>
    </w:p>
    <w:p w14:paraId="6BE5ED3C" w14:textId="77777777" w:rsidR="0033636A" w:rsidRDefault="0033636A">
      <w:pPr>
        <w:spacing w:before="60" w:after="100"/>
        <w:rPr>
          <w:color w:val="2C2C2C"/>
        </w:rPr>
      </w:pPr>
    </w:p>
    <w:p w14:paraId="2C415B60" w14:textId="158008FF" w:rsidR="00D322E1" w:rsidRDefault="00000000">
      <w:pPr>
        <w:spacing w:before="60" w:after="100"/>
      </w:pPr>
      <w:r>
        <w:rPr>
          <w:color w:val="2C2C2C"/>
        </w:rPr>
        <w:t>The memo addresses: (i) the current state of tooling; (ii) the mapping of existing spreadsheet modules to proposed application components; (iii) the architecture of the TCA Risk Domain as the analytical foundation; (iv) the key functional requirements; (v) the proposed development approach and phasing; and (vi) governance and integration considerations.</w:t>
      </w:r>
    </w:p>
    <w:p w14:paraId="625B372F" w14:textId="77777777" w:rsidR="00D322E1" w:rsidRDefault="00D322E1">
      <w:pPr>
        <w:spacing w:before="80"/>
      </w:pPr>
    </w:p>
    <w:p w14:paraId="6060E096" w14:textId="77777777" w:rsidR="00D322E1" w:rsidRDefault="00000000">
      <w:pPr>
        <w:pStyle w:val="Heading1"/>
      </w:pPr>
      <w:r>
        <w:t>2.  Background and Context</w:t>
      </w:r>
    </w:p>
    <w:p w14:paraId="00C18701" w14:textId="77777777" w:rsidR="0033636A" w:rsidRDefault="0033636A">
      <w:pPr>
        <w:pStyle w:val="Heading1"/>
      </w:pPr>
    </w:p>
    <w:p w14:paraId="7F94C483" w14:textId="0DEED26C" w:rsidR="00D322E1" w:rsidRDefault="00000000">
      <w:pPr>
        <w:pStyle w:val="Heading2"/>
        <w:pBdr>
          <w:bottom w:val="single" w:sz="4" w:space="4" w:color="2E6DA4"/>
        </w:pBdr>
      </w:pPr>
      <w:r>
        <w:t>2.1  The TCA Risk Intelligence Framework</w:t>
      </w:r>
      <w:r w:rsidR="0033636A">
        <w:t xml:space="preserve"> – E&amp;P</w:t>
      </w:r>
    </w:p>
    <w:p w14:paraId="0943D69F" w14:textId="77777777" w:rsidR="00D322E1" w:rsidRDefault="00000000">
      <w:pPr>
        <w:spacing w:before="60" w:after="100"/>
        <w:rPr>
          <w:color w:val="2C2C2C"/>
        </w:rPr>
      </w:pPr>
      <w:r>
        <w:rPr>
          <w:color w:val="2C2C2C"/>
        </w:rPr>
        <w:t>TCA's analytical mandate, as established in the Structured Risk Intelligence Framework for U.S. Upstream Oil &amp; Gas Investments and the R&amp;I Framework documents, is to evaluate upstream energy projects across five core risk domains:</w:t>
      </w:r>
    </w:p>
    <w:p w14:paraId="3E8DAF7C" w14:textId="77777777" w:rsidR="0033636A" w:rsidRDefault="0033636A">
      <w:pPr>
        <w:spacing w:before="60" w:after="100"/>
      </w:pPr>
    </w:p>
    <w:p w14:paraId="0A8D3D26" w14:textId="77777777" w:rsidR="00D322E1" w:rsidRDefault="00000000">
      <w:pPr>
        <w:pStyle w:val="ListParagraph"/>
        <w:numPr>
          <w:ilvl w:val="0"/>
          <w:numId w:val="2"/>
        </w:numPr>
        <w:spacing w:before="40" w:after="60"/>
      </w:pPr>
      <w:r w:rsidRPr="0033636A">
        <w:rPr>
          <w:b/>
          <w:bCs/>
          <w:color w:val="2C2C2C"/>
        </w:rPr>
        <w:t>Geological &amp; Reservoir Risk (GR)</w:t>
      </w:r>
      <w:r>
        <w:rPr>
          <w:color w:val="2C2C2C"/>
        </w:rPr>
        <w:t xml:space="preserve"> — basin maturity, trap integrity, source rock viability, reservoir quality, hydrocarbon indicators</w:t>
      </w:r>
    </w:p>
    <w:p w14:paraId="676F94CC" w14:textId="77777777" w:rsidR="00D322E1" w:rsidRDefault="00000000">
      <w:pPr>
        <w:pStyle w:val="ListParagraph"/>
        <w:numPr>
          <w:ilvl w:val="0"/>
          <w:numId w:val="2"/>
        </w:numPr>
        <w:spacing w:before="40" w:after="60"/>
      </w:pPr>
      <w:r w:rsidRPr="0033636A">
        <w:rPr>
          <w:b/>
          <w:bCs/>
          <w:color w:val="2C2C2C"/>
        </w:rPr>
        <w:t>Technical &amp; Execution Risk (TE)</w:t>
      </w:r>
      <w:r>
        <w:rPr>
          <w:color w:val="2C2C2C"/>
        </w:rPr>
        <w:t xml:space="preserve"> — drilling design, completion design, cost reliability, operator track record, supply chain exposure</w:t>
      </w:r>
    </w:p>
    <w:p w14:paraId="3EAC4694" w14:textId="77777777" w:rsidR="00D322E1" w:rsidRDefault="00000000">
      <w:pPr>
        <w:pStyle w:val="ListParagraph"/>
        <w:numPr>
          <w:ilvl w:val="0"/>
          <w:numId w:val="2"/>
        </w:numPr>
        <w:spacing w:before="40" w:after="60"/>
      </w:pPr>
      <w:r w:rsidRPr="0033636A">
        <w:rPr>
          <w:b/>
          <w:bCs/>
          <w:color w:val="2C2C2C"/>
        </w:rPr>
        <w:t>Regulatory &amp; Environmental Risk (RE)</w:t>
      </w:r>
      <w:r>
        <w:rPr>
          <w:color w:val="2C2C2C"/>
        </w:rPr>
        <w:t xml:space="preserve"> — permit status, jurisdiction, environmental exposure, litigation risk, regulatory stability</w:t>
      </w:r>
    </w:p>
    <w:p w14:paraId="721C67E4" w14:textId="77777777" w:rsidR="00D322E1" w:rsidRDefault="00000000">
      <w:pPr>
        <w:pStyle w:val="ListParagraph"/>
        <w:numPr>
          <w:ilvl w:val="0"/>
          <w:numId w:val="2"/>
        </w:numPr>
        <w:spacing w:before="40" w:after="60"/>
      </w:pPr>
      <w:r w:rsidRPr="0033636A">
        <w:rPr>
          <w:b/>
          <w:bCs/>
          <w:color w:val="2C2C2C"/>
        </w:rPr>
        <w:lastRenderedPageBreak/>
        <w:t>Commercial &amp; Financial Risk (CF)</w:t>
      </w:r>
      <w:r>
        <w:rPr>
          <w:color w:val="2C2C2C"/>
        </w:rPr>
        <w:t xml:space="preserve"> — lease structure, capital structure, funding certainty, commodity exposure, project economics</w:t>
      </w:r>
    </w:p>
    <w:p w14:paraId="46CA84A6" w14:textId="77777777" w:rsidR="00D322E1" w:rsidRDefault="00000000">
      <w:pPr>
        <w:pStyle w:val="ListParagraph"/>
        <w:numPr>
          <w:ilvl w:val="0"/>
          <w:numId w:val="2"/>
        </w:numPr>
        <w:spacing w:before="40" w:after="60"/>
      </w:pPr>
      <w:r w:rsidRPr="0033636A">
        <w:rPr>
          <w:b/>
          <w:bCs/>
          <w:color w:val="2C2C2C"/>
        </w:rPr>
        <w:t>Infrastructure &amp; Market Risk (IM)</w:t>
      </w:r>
      <w:r>
        <w:rPr>
          <w:color w:val="2C2C2C"/>
        </w:rPr>
        <w:t xml:space="preserve"> — pipeline access, processing availability, market access, basis differential exposure</w:t>
      </w:r>
    </w:p>
    <w:p w14:paraId="2D071C11" w14:textId="77777777" w:rsidR="0033636A" w:rsidRDefault="0033636A">
      <w:pPr>
        <w:spacing w:before="60" w:after="100"/>
        <w:rPr>
          <w:color w:val="2C2C2C"/>
        </w:rPr>
      </w:pPr>
    </w:p>
    <w:p w14:paraId="36413E2E" w14:textId="77777777" w:rsidR="0033636A" w:rsidRDefault="00000000">
      <w:pPr>
        <w:spacing w:before="60" w:after="100"/>
        <w:rPr>
          <w:color w:val="2C2C2C"/>
        </w:rPr>
      </w:pPr>
      <w:r>
        <w:rPr>
          <w:color w:val="2C2C2C"/>
        </w:rPr>
        <w:t xml:space="preserve">These domains are subject to stage-sensitive weighting across six project maturity stages — Virgin Exploration, Prospect Definition, Permitted, Drilled &amp; Tested, Development, and Producing. </w:t>
      </w:r>
    </w:p>
    <w:p w14:paraId="62AD477C" w14:textId="77777777" w:rsidR="0033636A" w:rsidRDefault="0033636A">
      <w:pPr>
        <w:spacing w:before="60" w:after="100"/>
        <w:rPr>
          <w:color w:val="2C2C2C"/>
        </w:rPr>
      </w:pPr>
    </w:p>
    <w:p w14:paraId="624FA0A8" w14:textId="7FFB31AA" w:rsidR="00D322E1" w:rsidRDefault="00000000">
      <w:pPr>
        <w:spacing w:before="60" w:after="100"/>
      </w:pPr>
      <w:r>
        <w:rPr>
          <w:color w:val="2C2C2C"/>
        </w:rPr>
        <w:t>The framework is explicitly designed to function analogously to a credit rating agency for upstream energy: translating subsurface and operational uncertainty into structured, comparable investment intelligence.</w:t>
      </w:r>
    </w:p>
    <w:p w14:paraId="23D32A65" w14:textId="77777777" w:rsidR="00D322E1" w:rsidRDefault="00D322E1">
      <w:pPr>
        <w:spacing w:before="60"/>
      </w:pPr>
    </w:p>
    <w:p w14:paraId="770E249A" w14:textId="77777777" w:rsidR="00D322E1" w:rsidRDefault="00000000">
      <w:pPr>
        <w:pStyle w:val="Heading2"/>
        <w:pBdr>
          <w:bottom w:val="single" w:sz="4" w:space="4" w:color="2E6DA4"/>
        </w:pBdr>
      </w:pPr>
      <w:r>
        <w:t>2.2  The Existing Risk Tool</w:t>
      </w:r>
    </w:p>
    <w:p w14:paraId="749F25D2" w14:textId="77777777" w:rsidR="00D322E1" w:rsidRDefault="00000000">
      <w:pPr>
        <w:spacing w:before="60" w:after="100"/>
      </w:pPr>
      <w:r>
        <w:rPr>
          <w:color w:val="2C2C2C"/>
        </w:rPr>
        <w:t>The current risk assessment workbook (the Risk Tool) is a multi-sheet Excel/XLSM file that operationalises portions of this framework. It contains the following sheets of relevance to this initiative:</w:t>
      </w:r>
    </w:p>
    <w:p w14:paraId="187AEF7D" w14:textId="77777777" w:rsidR="00D322E1" w:rsidRDefault="00D322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700"/>
        <w:gridCol w:w="2400"/>
        <w:gridCol w:w="1760"/>
      </w:tblGrid>
      <w:tr w:rsidR="00D322E1" w14:paraId="22DB4669" w14:textId="77777777">
        <w:tblPrEx>
          <w:tblCellMar>
            <w:top w:w="0" w:type="dxa"/>
            <w:bottom w:w="0" w:type="dxa"/>
          </w:tblCellMar>
        </w:tblPrEx>
        <w:tc>
          <w:tcPr>
            <w:tcW w:w="25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3F424E2D" w14:textId="77777777" w:rsidR="00D322E1" w:rsidRDefault="00000000">
            <w:r>
              <w:rPr>
                <w:b/>
                <w:bCs/>
                <w:color w:val="FFFFFF"/>
                <w:sz w:val="18"/>
                <w:szCs w:val="18"/>
              </w:rPr>
              <w:t>Risk Tool Module</w:t>
            </w:r>
          </w:p>
        </w:tc>
        <w:tc>
          <w:tcPr>
            <w:tcW w:w="27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6DBDDDED" w14:textId="77777777" w:rsidR="00D322E1" w:rsidRDefault="00000000">
            <w:r>
              <w:rPr>
                <w:b/>
                <w:bCs/>
                <w:color w:val="FFFFFF"/>
                <w:sz w:val="18"/>
                <w:szCs w:val="18"/>
              </w:rPr>
              <w:t>TCA Equivalent</w:t>
            </w:r>
          </w:p>
        </w:tc>
        <w:tc>
          <w:tcPr>
            <w:tcW w:w="240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27F7B52D" w14:textId="77777777" w:rsidR="00D322E1" w:rsidRDefault="00000000">
            <w:r>
              <w:rPr>
                <w:b/>
                <w:bCs/>
                <w:color w:val="FFFFFF"/>
                <w:sz w:val="18"/>
                <w:szCs w:val="18"/>
              </w:rPr>
              <w:t>Function in Risk Engine</w:t>
            </w:r>
          </w:p>
        </w:tc>
        <w:tc>
          <w:tcPr>
            <w:tcW w:w="176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64EE3E5C" w14:textId="77777777" w:rsidR="00D322E1" w:rsidRDefault="00000000">
            <w:r>
              <w:rPr>
                <w:b/>
                <w:bCs/>
                <w:color w:val="FFFFFF"/>
                <w:sz w:val="18"/>
                <w:szCs w:val="18"/>
              </w:rPr>
              <w:t>Priority</w:t>
            </w:r>
          </w:p>
        </w:tc>
      </w:tr>
      <w:tr w:rsidR="00D322E1" w14:paraId="267C06A4" w14:textId="77777777">
        <w:tblPrEx>
          <w:tblCellMar>
            <w:top w:w="0" w:type="dxa"/>
            <w:bottom w:w="0" w:type="dxa"/>
          </w:tblCellMar>
        </w:tblPrEx>
        <w:tc>
          <w:tcPr>
            <w:tcW w:w="25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5128EEB4" w14:textId="77777777" w:rsidR="00D322E1" w:rsidRDefault="00000000">
            <w:r>
              <w:rPr>
                <w:color w:val="2C2C2C"/>
                <w:sz w:val="18"/>
                <w:szCs w:val="18"/>
              </w:rPr>
              <w:t>Risk Definitions</w:t>
            </w:r>
          </w:p>
        </w:tc>
        <w:tc>
          <w:tcPr>
            <w:tcW w:w="27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2A5A50F3" w14:textId="77777777" w:rsidR="00D322E1" w:rsidRDefault="00000000">
            <w:r>
              <w:rPr>
                <w:color w:val="2C2C2C"/>
                <w:sz w:val="18"/>
                <w:szCs w:val="18"/>
              </w:rPr>
              <w:t>Methodology Glossary</w:t>
            </w:r>
          </w:p>
        </w:tc>
        <w:tc>
          <w:tcPr>
            <w:tcW w:w="24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65E040C8" w14:textId="77777777" w:rsidR="00D322E1" w:rsidRDefault="00000000">
            <w:r>
              <w:rPr>
                <w:color w:val="2C2C2C"/>
                <w:sz w:val="18"/>
                <w:szCs w:val="18"/>
              </w:rPr>
              <w:t>Define scoring logic, terminology, and assessment standards</w:t>
            </w:r>
          </w:p>
        </w:tc>
        <w:tc>
          <w:tcPr>
            <w:tcW w:w="176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672235EF" w14:textId="77777777" w:rsidR="00D322E1" w:rsidRDefault="00000000">
            <w:r>
              <w:rPr>
                <w:color w:val="2C2C2C"/>
                <w:sz w:val="18"/>
                <w:szCs w:val="18"/>
              </w:rPr>
              <w:t>Foundation</w:t>
            </w:r>
          </w:p>
        </w:tc>
      </w:tr>
      <w:tr w:rsidR="00D322E1" w14:paraId="14C6799A" w14:textId="77777777">
        <w:tblPrEx>
          <w:tblCellMar>
            <w:top w:w="0" w:type="dxa"/>
            <w:bottom w:w="0" w:type="dxa"/>
          </w:tblCellMar>
        </w:tblPrEx>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7F177BDE" w14:textId="77777777" w:rsidR="00D322E1" w:rsidRDefault="00000000">
            <w:r>
              <w:rPr>
                <w:color w:val="2C2C2C"/>
                <w:sz w:val="18"/>
                <w:szCs w:val="18"/>
              </w:rPr>
              <w:t>Types of Market Abuse</w:t>
            </w:r>
          </w:p>
        </w:tc>
        <w:tc>
          <w:tcPr>
            <w:tcW w:w="27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42F7FFFD" w14:textId="77777777" w:rsidR="00D322E1" w:rsidRDefault="00000000">
            <w:r>
              <w:rPr>
                <w:color w:val="2C2C2C"/>
                <w:sz w:val="18"/>
                <w:szCs w:val="18"/>
              </w:rPr>
              <w:t>TCA Risk Domain Library</w:t>
            </w:r>
          </w:p>
        </w:tc>
        <w:tc>
          <w:tcPr>
            <w:tcW w:w="24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3F246EFE" w14:textId="77777777" w:rsidR="00D322E1" w:rsidRDefault="00000000">
            <w:r>
              <w:rPr>
                <w:color w:val="2C2C2C"/>
                <w:sz w:val="18"/>
                <w:szCs w:val="18"/>
              </w:rPr>
              <w:t>Enumerate risk categories and sub-elements with regulatory context</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73C2D731" w14:textId="77777777" w:rsidR="00D322E1" w:rsidRDefault="00000000">
            <w:r>
              <w:rPr>
                <w:color w:val="2C2C2C"/>
                <w:sz w:val="18"/>
                <w:szCs w:val="18"/>
              </w:rPr>
              <w:t>Core</w:t>
            </w:r>
          </w:p>
        </w:tc>
      </w:tr>
      <w:tr w:rsidR="00D322E1" w14:paraId="2AFF0011" w14:textId="77777777">
        <w:tblPrEx>
          <w:tblCellMar>
            <w:top w:w="0" w:type="dxa"/>
            <w:bottom w:w="0" w:type="dxa"/>
          </w:tblCellMar>
        </w:tblPrEx>
        <w:tc>
          <w:tcPr>
            <w:tcW w:w="25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1D33B3BB" w14:textId="77777777" w:rsidR="00D322E1" w:rsidRDefault="00000000">
            <w:r>
              <w:rPr>
                <w:color w:val="2C2C2C"/>
                <w:sz w:val="18"/>
                <w:szCs w:val="18"/>
              </w:rPr>
              <w:t>US Risk Template</w:t>
            </w:r>
          </w:p>
        </w:tc>
        <w:tc>
          <w:tcPr>
            <w:tcW w:w="27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6382DBE8" w14:textId="77777777" w:rsidR="00D322E1" w:rsidRDefault="00000000">
            <w:r>
              <w:rPr>
                <w:color w:val="2C2C2C"/>
                <w:sz w:val="18"/>
                <w:szCs w:val="18"/>
              </w:rPr>
              <w:t>Risk Assessment Template</w:t>
            </w:r>
          </w:p>
        </w:tc>
        <w:tc>
          <w:tcPr>
            <w:tcW w:w="24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2E3B3E5B" w14:textId="77777777" w:rsidR="00D322E1" w:rsidRDefault="00000000">
            <w:r>
              <w:rPr>
                <w:color w:val="2C2C2C"/>
                <w:sz w:val="18"/>
                <w:szCs w:val="18"/>
              </w:rPr>
              <w:t>Structured per-project scoring instrument by domain/element</w:t>
            </w:r>
          </w:p>
        </w:tc>
        <w:tc>
          <w:tcPr>
            <w:tcW w:w="176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31D3F231" w14:textId="77777777" w:rsidR="00D322E1" w:rsidRDefault="00000000">
            <w:r>
              <w:rPr>
                <w:color w:val="2C2C2C"/>
                <w:sz w:val="18"/>
                <w:szCs w:val="18"/>
              </w:rPr>
              <w:t>Core</w:t>
            </w:r>
          </w:p>
        </w:tc>
      </w:tr>
      <w:tr w:rsidR="00D322E1" w14:paraId="5E4CCE43" w14:textId="77777777">
        <w:tblPrEx>
          <w:tblCellMar>
            <w:top w:w="0" w:type="dxa"/>
            <w:bottom w:w="0" w:type="dxa"/>
          </w:tblCellMar>
        </w:tblPrEx>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13B263D8" w14:textId="77777777" w:rsidR="00D322E1" w:rsidRDefault="00000000">
            <w:r>
              <w:rPr>
                <w:color w:val="2C2C2C"/>
                <w:sz w:val="18"/>
                <w:szCs w:val="18"/>
              </w:rPr>
              <w:t>UK/Singapore Templates</w:t>
            </w:r>
          </w:p>
        </w:tc>
        <w:tc>
          <w:tcPr>
            <w:tcW w:w="27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3DAD1CE0" w14:textId="77777777" w:rsidR="00D322E1" w:rsidRDefault="00000000">
            <w:r>
              <w:rPr>
                <w:color w:val="2C2C2C"/>
                <w:sz w:val="18"/>
                <w:szCs w:val="18"/>
              </w:rPr>
              <w:t>Jurisdiction Variants</w:t>
            </w:r>
          </w:p>
        </w:tc>
        <w:tc>
          <w:tcPr>
            <w:tcW w:w="24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35399B30" w14:textId="77777777" w:rsidR="00D322E1" w:rsidRDefault="00000000">
            <w:r>
              <w:rPr>
                <w:color w:val="2C2C2C"/>
                <w:sz w:val="18"/>
                <w:szCs w:val="18"/>
              </w:rPr>
              <w:t>Adapted templates for non-US regulatory environments (future)</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7E0343CB" w14:textId="77777777" w:rsidR="00D322E1" w:rsidRDefault="00000000">
            <w:r>
              <w:rPr>
                <w:color w:val="2C2C2C"/>
                <w:sz w:val="18"/>
                <w:szCs w:val="18"/>
              </w:rPr>
              <w:t>Secondary</w:t>
            </w:r>
          </w:p>
        </w:tc>
      </w:tr>
      <w:tr w:rsidR="00D322E1" w14:paraId="7F540994" w14:textId="77777777">
        <w:tblPrEx>
          <w:tblCellMar>
            <w:top w:w="0" w:type="dxa"/>
            <w:bottom w:w="0" w:type="dxa"/>
          </w:tblCellMar>
        </w:tblPrEx>
        <w:tc>
          <w:tcPr>
            <w:tcW w:w="25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4391C292" w14:textId="77777777" w:rsidR="00D322E1" w:rsidRDefault="00000000">
            <w:r>
              <w:rPr>
                <w:color w:val="2C2C2C"/>
                <w:sz w:val="18"/>
                <w:szCs w:val="18"/>
              </w:rPr>
              <w:t>Heat Maps</w:t>
            </w:r>
          </w:p>
        </w:tc>
        <w:tc>
          <w:tcPr>
            <w:tcW w:w="27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49E239E6" w14:textId="77777777" w:rsidR="00D322E1" w:rsidRDefault="00000000">
            <w:r>
              <w:rPr>
                <w:color w:val="2C2C2C"/>
                <w:sz w:val="18"/>
                <w:szCs w:val="18"/>
              </w:rPr>
              <w:t>Risk Visualisation Engine</w:t>
            </w:r>
          </w:p>
        </w:tc>
        <w:tc>
          <w:tcPr>
            <w:tcW w:w="24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06D404C0" w14:textId="77777777" w:rsidR="00D322E1" w:rsidRDefault="00000000">
            <w:r>
              <w:rPr>
                <w:color w:val="2C2C2C"/>
                <w:sz w:val="18"/>
                <w:szCs w:val="18"/>
              </w:rPr>
              <w:t>Inherent vs Residual risk plotting by domain and desk/project</w:t>
            </w:r>
          </w:p>
        </w:tc>
        <w:tc>
          <w:tcPr>
            <w:tcW w:w="176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0EC6E536" w14:textId="77777777" w:rsidR="00D322E1" w:rsidRDefault="00000000">
            <w:r>
              <w:rPr>
                <w:color w:val="2C2C2C"/>
                <w:sz w:val="18"/>
                <w:szCs w:val="18"/>
              </w:rPr>
              <w:t>Core</w:t>
            </w:r>
          </w:p>
        </w:tc>
      </w:tr>
      <w:tr w:rsidR="00D322E1" w14:paraId="4A0DA2CA" w14:textId="77777777">
        <w:tblPrEx>
          <w:tblCellMar>
            <w:top w:w="0" w:type="dxa"/>
            <w:bottom w:w="0" w:type="dxa"/>
          </w:tblCellMar>
        </w:tblPrEx>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56005F1C" w14:textId="77777777" w:rsidR="00D322E1" w:rsidRDefault="00000000">
            <w:r>
              <w:rPr>
                <w:color w:val="2C2C2C"/>
                <w:sz w:val="18"/>
                <w:szCs w:val="18"/>
              </w:rPr>
              <w:t>Summary by Desk</w:t>
            </w:r>
          </w:p>
        </w:tc>
        <w:tc>
          <w:tcPr>
            <w:tcW w:w="27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674DA82F" w14:textId="77777777" w:rsidR="00D322E1" w:rsidRDefault="00000000">
            <w:r>
              <w:rPr>
                <w:color w:val="2C2C2C"/>
                <w:sz w:val="18"/>
                <w:szCs w:val="18"/>
              </w:rPr>
              <w:t>Portfolio Dashboard</w:t>
            </w:r>
          </w:p>
        </w:tc>
        <w:tc>
          <w:tcPr>
            <w:tcW w:w="240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293A0C4F" w14:textId="77777777" w:rsidR="00D322E1" w:rsidRDefault="00000000">
            <w:r>
              <w:rPr>
                <w:color w:val="2C2C2C"/>
                <w:sz w:val="18"/>
                <w:szCs w:val="18"/>
              </w:rPr>
              <w:t>Aggregate risk profiles across analysts, projects, or business units</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32F7087E" w14:textId="77777777" w:rsidR="00D322E1" w:rsidRDefault="00000000">
            <w:r>
              <w:rPr>
                <w:color w:val="2C2C2C"/>
                <w:sz w:val="18"/>
                <w:szCs w:val="18"/>
              </w:rPr>
              <w:t>Core</w:t>
            </w:r>
          </w:p>
        </w:tc>
      </w:tr>
      <w:tr w:rsidR="00D322E1" w14:paraId="6577B941" w14:textId="77777777">
        <w:tblPrEx>
          <w:tblCellMar>
            <w:top w:w="0" w:type="dxa"/>
            <w:bottom w:w="0" w:type="dxa"/>
          </w:tblCellMar>
        </w:tblPrEx>
        <w:tc>
          <w:tcPr>
            <w:tcW w:w="25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082AF122" w14:textId="77777777" w:rsidR="00D322E1" w:rsidRDefault="00000000">
            <w:r>
              <w:rPr>
                <w:color w:val="2C2C2C"/>
                <w:sz w:val="18"/>
                <w:szCs w:val="18"/>
              </w:rPr>
              <w:t>Lookup Scales</w:t>
            </w:r>
          </w:p>
        </w:tc>
        <w:tc>
          <w:tcPr>
            <w:tcW w:w="27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72715F58" w14:textId="77777777" w:rsidR="00D322E1" w:rsidRDefault="00000000">
            <w:r>
              <w:rPr>
                <w:color w:val="2C2C2C"/>
                <w:sz w:val="18"/>
                <w:szCs w:val="18"/>
              </w:rPr>
              <w:t>Scoring Scale Configuration</w:t>
            </w:r>
          </w:p>
        </w:tc>
        <w:tc>
          <w:tcPr>
            <w:tcW w:w="240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0263A371" w14:textId="77777777" w:rsidR="00D322E1" w:rsidRDefault="00000000">
            <w:r>
              <w:rPr>
                <w:color w:val="2C2C2C"/>
                <w:sz w:val="18"/>
                <w:szCs w:val="18"/>
              </w:rPr>
              <w:t>Calibrate Likelihood, Impact, Inherent, and Residual risk scales</w:t>
            </w:r>
          </w:p>
        </w:tc>
        <w:tc>
          <w:tcPr>
            <w:tcW w:w="176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4381CBE4" w14:textId="77777777" w:rsidR="00D322E1" w:rsidRDefault="00000000">
            <w:r>
              <w:rPr>
                <w:color w:val="2C2C2C"/>
                <w:sz w:val="18"/>
                <w:szCs w:val="18"/>
              </w:rPr>
              <w:t>Foundation</w:t>
            </w:r>
          </w:p>
        </w:tc>
      </w:tr>
    </w:tbl>
    <w:p w14:paraId="3D0AD1C6" w14:textId="77777777" w:rsidR="00D322E1" w:rsidRDefault="00D322E1">
      <w:pPr>
        <w:spacing w:before="60"/>
      </w:pPr>
    </w:p>
    <w:p w14:paraId="631E66A1" w14:textId="77777777" w:rsidR="00D322E1" w:rsidRDefault="00000000">
      <w:pPr>
        <w:spacing w:before="60" w:after="100"/>
      </w:pPr>
      <w:r>
        <w:rPr>
          <w:color w:val="2C2C2C"/>
        </w:rPr>
        <w:t>The TCA Core Risk Domain Data Collection Framework spreadsheet provides the structured element-level data model — the list of information requirements, risk signatures, data sources, and analyst guidance — which corresponds directly to what the Risk Tool refers to as the Risk Domain taxonomy.</w:t>
      </w:r>
    </w:p>
    <w:p w14:paraId="20541631" w14:textId="77777777" w:rsidR="00D322E1" w:rsidRDefault="00000000">
      <w:pPr>
        <w:spacing w:before="60" w:after="100"/>
      </w:pPr>
      <w:r w:rsidRPr="00375AEA">
        <w:rPr>
          <w:color w:val="2C2C2C"/>
          <w:highlight w:val="yellow"/>
        </w:rPr>
        <w:t>In TCA nomenclature, the "Types of Market Abuse" sheet in the Risk Tool is the analogue of TCA's Risk Domain library. The proposed application should replace both with a unified, configurable TCA Risk Domain Registry</w:t>
      </w:r>
      <w:r>
        <w:rPr>
          <w:color w:val="2C2C2C"/>
        </w:rPr>
        <w:t>.</w:t>
      </w:r>
    </w:p>
    <w:p w14:paraId="54E41843" w14:textId="77777777" w:rsidR="00D322E1" w:rsidRDefault="00D322E1">
      <w:pPr>
        <w:spacing w:before="80"/>
      </w:pPr>
    </w:p>
    <w:p w14:paraId="4D83A099" w14:textId="77777777" w:rsidR="00D322E1" w:rsidRDefault="00000000">
      <w:pPr>
        <w:pStyle w:val="Heading1"/>
      </w:pPr>
      <w:r>
        <w:lastRenderedPageBreak/>
        <w:t>3.  The TCA Risk Engine — Proposed Application</w:t>
      </w:r>
    </w:p>
    <w:p w14:paraId="0616BB87" w14:textId="77777777" w:rsidR="0033636A" w:rsidRDefault="0033636A">
      <w:pPr>
        <w:pStyle w:val="Heading1"/>
      </w:pPr>
    </w:p>
    <w:p w14:paraId="4DB4FAC1" w14:textId="77777777" w:rsidR="00D322E1" w:rsidRDefault="00000000">
      <w:pPr>
        <w:pStyle w:val="Heading2"/>
        <w:pBdr>
          <w:bottom w:val="single" w:sz="4" w:space="4" w:color="2E6DA4"/>
        </w:pBdr>
      </w:pPr>
      <w:r>
        <w:t>3.1  Application Overview</w:t>
      </w:r>
    </w:p>
    <w:p w14:paraId="33048A8B" w14:textId="77777777" w:rsidR="00D322E1" w:rsidRDefault="00000000">
      <w:pPr>
        <w:spacing w:before="60" w:after="100"/>
      </w:pPr>
      <w:r>
        <w:rPr>
          <w:color w:val="2C2C2C"/>
        </w:rPr>
        <w:t xml:space="preserve">The TCA Risk Engine is envisioned as a secure, role-based web application accessible to authorised TCA employees. </w:t>
      </w:r>
      <w:r w:rsidRPr="00375AEA">
        <w:rPr>
          <w:color w:val="2C2C2C"/>
          <w:highlight w:val="yellow"/>
        </w:rPr>
        <w:t>It will digitise and govern the complete risk evaluation workflow — from domain configuration and template-driven scoring, through to heat map visualisation, portfolio aggregation, and audit-ready reporting</w:t>
      </w:r>
      <w:r>
        <w:rPr>
          <w:color w:val="2C2C2C"/>
        </w:rPr>
        <w:t>.</w:t>
      </w:r>
    </w:p>
    <w:p w14:paraId="5043B476" w14:textId="77777777" w:rsidR="00D322E1" w:rsidRDefault="00000000">
      <w:pPr>
        <w:spacing w:before="60" w:after="100"/>
      </w:pPr>
      <w:r>
        <w:rPr>
          <w:color w:val="2C2C2C"/>
        </w:rPr>
        <w:t>The application is not a general-purpose risk tool. It is purpose-built around TCA's specific five-domain, stage-sensitive methodology and the data requirements established in the TCA Core Risk Domain Framework.</w:t>
      </w:r>
    </w:p>
    <w:p w14:paraId="506EF506" w14:textId="77777777" w:rsidR="00D322E1" w:rsidRDefault="00D322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22E1" w14:paraId="5640F1DA" w14:textId="77777777">
        <w:tblPrEx>
          <w:tblCellMar>
            <w:top w:w="0" w:type="dxa"/>
            <w:bottom w:w="0" w:type="dxa"/>
          </w:tblCellMar>
        </w:tblPrEx>
        <w:tc>
          <w:tcPr>
            <w:tcW w:w="9360" w:type="dxa"/>
            <w:tcBorders>
              <w:top w:val="single" w:sz="4" w:space="0" w:color="2E6DA4"/>
              <w:left w:val="single" w:sz="4" w:space="0" w:color="2E6DA4"/>
              <w:bottom w:val="none" w:sz="0" w:space="0" w:color="FFFFFF"/>
              <w:right w:val="single" w:sz="4" w:space="0" w:color="2E6DA4"/>
            </w:tcBorders>
            <w:shd w:val="clear" w:color="auto" w:fill="1B3A5C"/>
            <w:tcMar>
              <w:top w:w="80" w:type="dxa"/>
              <w:left w:w="160" w:type="dxa"/>
              <w:bottom w:w="80" w:type="dxa"/>
              <w:right w:w="160" w:type="dxa"/>
            </w:tcMar>
          </w:tcPr>
          <w:p w14:paraId="4BBABF12" w14:textId="77777777" w:rsidR="00D322E1" w:rsidRDefault="00000000">
            <w:r>
              <w:rPr>
                <w:b/>
                <w:bCs/>
                <w:color w:val="FFFFFF"/>
              </w:rPr>
              <w:t>Design Principles for the TCA Risk Engine</w:t>
            </w:r>
          </w:p>
        </w:tc>
      </w:tr>
      <w:tr w:rsidR="00D322E1" w14:paraId="61BAFDD0" w14:textId="77777777">
        <w:tblPrEx>
          <w:tblCellMar>
            <w:top w:w="0" w:type="dxa"/>
            <w:bottom w:w="0" w:type="dxa"/>
          </w:tblCellMar>
        </w:tblPrEx>
        <w:tc>
          <w:tcPr>
            <w:tcW w:w="9360" w:type="dxa"/>
            <w:tcBorders>
              <w:top w:val="none" w:sz="0" w:space="0" w:color="FFFFFF"/>
              <w:left w:val="single" w:sz="4" w:space="0" w:color="2E6DA4"/>
              <w:bottom w:val="single" w:sz="4" w:space="0" w:color="2E6DA4"/>
              <w:right w:val="single" w:sz="4" w:space="0" w:color="2E6DA4"/>
            </w:tcBorders>
            <w:shd w:val="clear" w:color="auto" w:fill="D6E4F0"/>
            <w:tcMar>
              <w:top w:w="100" w:type="dxa"/>
              <w:left w:w="160" w:type="dxa"/>
              <w:bottom w:w="100" w:type="dxa"/>
              <w:right w:w="160" w:type="dxa"/>
            </w:tcMar>
          </w:tcPr>
          <w:p w14:paraId="148B09A5" w14:textId="77777777" w:rsidR="00D322E1" w:rsidRDefault="00000000">
            <w:pPr>
              <w:spacing w:before="40" w:after="40"/>
            </w:pPr>
            <w:r>
              <w:rPr>
                <w:color w:val="1B3A5C"/>
              </w:rPr>
              <w:t>1.  Methodology-faithful — The scoring architecture must precisely reflect TCA's stage-sensitive weighting model and five-domain structure.</w:t>
            </w:r>
          </w:p>
          <w:p w14:paraId="34FDC36D" w14:textId="77777777" w:rsidR="00D322E1" w:rsidRDefault="00000000">
            <w:pPr>
              <w:spacing w:before="40" w:after="40"/>
            </w:pPr>
            <w:r>
              <w:rPr>
                <w:color w:val="1B3A5C"/>
              </w:rPr>
              <w:t>2.  Auditable — Every scoring input, analyst note, and sign-off must be logged with timestamp and user identity.</w:t>
            </w:r>
          </w:p>
          <w:p w14:paraId="063F0731" w14:textId="77777777" w:rsidR="00D322E1" w:rsidRDefault="00000000">
            <w:pPr>
              <w:spacing w:before="40" w:after="40"/>
            </w:pPr>
            <w:r>
              <w:rPr>
                <w:color w:val="1B3A5C"/>
              </w:rPr>
              <w:t>3.  Analyst-guided — The interface should surface the 'Information Required' and 'Analyst Notes' from the Risk Domain Framework inline during scoring.</w:t>
            </w:r>
          </w:p>
          <w:p w14:paraId="3B038711" w14:textId="77777777" w:rsidR="00D322E1" w:rsidRDefault="00000000">
            <w:pPr>
              <w:spacing w:before="40" w:after="40"/>
            </w:pPr>
            <w:r>
              <w:rPr>
                <w:color w:val="1B3A5C"/>
              </w:rPr>
              <w:t xml:space="preserve">4.  Portfolio-aware — Outputs must aggregate across projects to support the </w:t>
            </w:r>
            <w:r w:rsidRPr="00375AEA">
              <w:rPr>
                <w:color w:val="1B3A5C"/>
                <w:highlight w:val="yellow"/>
              </w:rPr>
              <w:t>Summary by Desk /</w:t>
            </w:r>
            <w:r>
              <w:rPr>
                <w:color w:val="1B3A5C"/>
              </w:rPr>
              <w:t xml:space="preserve"> portfolio construction function.</w:t>
            </w:r>
          </w:p>
          <w:p w14:paraId="11616DB9" w14:textId="77777777" w:rsidR="00D322E1" w:rsidRDefault="00000000">
            <w:pPr>
              <w:spacing w:before="40" w:after="40"/>
            </w:pPr>
            <w:r>
              <w:rPr>
                <w:color w:val="1B3A5C"/>
              </w:rPr>
              <w:t>5.  Governed — Role-based access, workflow gates, and separation between data entry and approval must be enforced by the system.</w:t>
            </w:r>
          </w:p>
        </w:tc>
      </w:tr>
    </w:tbl>
    <w:p w14:paraId="5DA809D3" w14:textId="77777777" w:rsidR="00D322E1" w:rsidRDefault="00D322E1">
      <w:pPr>
        <w:spacing w:before="60"/>
      </w:pPr>
    </w:p>
    <w:p w14:paraId="128DC7C2" w14:textId="77777777" w:rsidR="00D322E1" w:rsidRDefault="00000000">
      <w:pPr>
        <w:pStyle w:val="Heading2"/>
        <w:pBdr>
          <w:bottom w:val="single" w:sz="4" w:space="4" w:color="2E6DA4"/>
        </w:pBdr>
      </w:pPr>
      <w:r>
        <w:t>3.2  Module Architecture</w:t>
      </w:r>
    </w:p>
    <w:p w14:paraId="64352ABA" w14:textId="77777777" w:rsidR="00D322E1" w:rsidRDefault="00000000">
      <w:pPr>
        <w:spacing w:before="60" w:after="100"/>
      </w:pPr>
      <w:r>
        <w:rPr>
          <w:color w:val="2C2C2C"/>
        </w:rPr>
        <w:t>The five spreadsheet modules map to the following application components:</w:t>
      </w:r>
    </w:p>
    <w:p w14:paraId="66B505D3" w14:textId="77777777" w:rsidR="00D322E1" w:rsidRDefault="00D322E1">
      <w:pPr>
        <w:spacing w:before="60"/>
      </w:pPr>
    </w:p>
    <w:p w14:paraId="49AD4AD7" w14:textId="77777777" w:rsidR="00D322E1" w:rsidRDefault="00000000">
      <w:pPr>
        <w:spacing w:before="200" w:after="80"/>
      </w:pPr>
      <w:r>
        <w:rPr>
          <w:b/>
          <w:bCs/>
          <w:color w:val="1B3A5C"/>
        </w:rPr>
        <w:t>Module 1: Risk Domain Registry (replacing Risk Definitions + Types of Market Abuse)</w:t>
      </w:r>
    </w:p>
    <w:p w14:paraId="181CF61F" w14:textId="77777777" w:rsidR="00D322E1" w:rsidRDefault="00000000">
      <w:pPr>
        <w:spacing w:before="60" w:after="100"/>
        <w:rPr>
          <w:color w:val="2C2C2C"/>
        </w:rPr>
      </w:pPr>
      <w:r>
        <w:rPr>
          <w:color w:val="2C2C2C"/>
        </w:rPr>
        <w:t xml:space="preserve">An administrator-managed registry of TCA's five Risk Domains, their constituent Elements, data requirements, risk signatures, data sources, and analyst guidance notes. </w:t>
      </w:r>
      <w:r w:rsidRPr="00375AEA">
        <w:rPr>
          <w:color w:val="2C2C2C"/>
          <w:highlight w:val="yellow"/>
        </w:rPr>
        <w:t>This is the master data layer of the application and the direct digital equivalent of the TCA Core Risk Domain Data Collection Framework.</w:t>
      </w:r>
      <w:r>
        <w:rPr>
          <w:color w:val="2C2C2C"/>
        </w:rPr>
        <w:t xml:space="preserve"> The Registry is versioned, meaning that changes to the domain structure are tracked, and historical assessments retain their original domain snapshot.</w:t>
      </w:r>
    </w:p>
    <w:p w14:paraId="31B58C89" w14:textId="77777777" w:rsidR="00375AEA" w:rsidRDefault="00375AEA">
      <w:pPr>
        <w:spacing w:before="60" w:after="100"/>
      </w:pPr>
    </w:p>
    <w:p w14:paraId="2A1AB8D6" w14:textId="77777777" w:rsidR="00D322E1" w:rsidRDefault="00000000">
      <w:pPr>
        <w:pStyle w:val="ListParagraph"/>
        <w:numPr>
          <w:ilvl w:val="0"/>
          <w:numId w:val="2"/>
        </w:numPr>
        <w:spacing w:before="40" w:after="60"/>
      </w:pPr>
      <w:r>
        <w:rPr>
          <w:color w:val="2C2C2C"/>
        </w:rPr>
        <w:t>Admin interface for creating, editing, and retiring Risk Domain entries</w:t>
      </w:r>
    </w:p>
    <w:p w14:paraId="5E31BEB6" w14:textId="77777777" w:rsidR="00D322E1" w:rsidRDefault="00000000">
      <w:pPr>
        <w:pStyle w:val="ListParagraph"/>
        <w:numPr>
          <w:ilvl w:val="0"/>
          <w:numId w:val="2"/>
        </w:numPr>
        <w:spacing w:before="40" w:after="60"/>
      </w:pPr>
      <w:r>
        <w:rPr>
          <w:color w:val="2C2C2C"/>
        </w:rPr>
        <w:t>Version control with effective-date stamping</w:t>
      </w:r>
    </w:p>
    <w:p w14:paraId="356E2535" w14:textId="77777777" w:rsidR="00D322E1" w:rsidRDefault="00000000">
      <w:pPr>
        <w:pStyle w:val="ListParagraph"/>
        <w:numPr>
          <w:ilvl w:val="0"/>
          <w:numId w:val="2"/>
        </w:numPr>
        <w:spacing w:before="40" w:after="60"/>
      </w:pPr>
      <w:r>
        <w:rPr>
          <w:color w:val="2C2C2C"/>
        </w:rPr>
        <w:t>Element-level configuration of scoring scales, data requirements, and analyst prompts</w:t>
      </w:r>
    </w:p>
    <w:p w14:paraId="5D963AF8" w14:textId="77777777" w:rsidR="00D322E1" w:rsidRDefault="00000000">
      <w:pPr>
        <w:pStyle w:val="ListParagraph"/>
        <w:numPr>
          <w:ilvl w:val="0"/>
          <w:numId w:val="2"/>
        </w:numPr>
        <w:spacing w:before="40" w:after="60"/>
      </w:pPr>
      <w:r>
        <w:rPr>
          <w:color w:val="2C2C2C"/>
        </w:rPr>
        <w:t>Supports both the five TCA domains and any future jurisdictional or sector variants</w:t>
      </w:r>
    </w:p>
    <w:p w14:paraId="67611854" w14:textId="77777777" w:rsidR="00D322E1" w:rsidRDefault="00D322E1">
      <w:pPr>
        <w:spacing w:before="40"/>
      </w:pPr>
    </w:p>
    <w:p w14:paraId="12EF3F5C" w14:textId="77777777" w:rsidR="00D322E1" w:rsidRDefault="00000000">
      <w:pPr>
        <w:spacing w:before="200" w:after="80"/>
      </w:pPr>
      <w:r>
        <w:rPr>
          <w:b/>
          <w:bCs/>
          <w:color w:val="1B3A5C"/>
        </w:rPr>
        <w:t>Module 2: Risk Assessment Templates (replacing US/UK/Singapore Risk Templates)</w:t>
      </w:r>
    </w:p>
    <w:p w14:paraId="7F5E7506" w14:textId="77777777" w:rsidR="00D322E1" w:rsidRDefault="00000000">
      <w:pPr>
        <w:spacing w:before="60" w:after="100"/>
      </w:pPr>
      <w:r w:rsidRPr="00375AEA">
        <w:rPr>
          <w:color w:val="2C2C2C"/>
          <w:highlight w:val="green"/>
        </w:rPr>
        <w:t>Dynamic, stage-aware assessment forms generated from the Risk Domain Registry</w:t>
      </w:r>
      <w:r>
        <w:rPr>
          <w:color w:val="2C2C2C"/>
        </w:rPr>
        <w:t xml:space="preserve">. When an analyst initiates a new project assessment, </w:t>
      </w:r>
      <w:r w:rsidRPr="00375AEA">
        <w:rPr>
          <w:color w:val="2C2C2C"/>
          <w:highlight w:val="yellow"/>
        </w:rPr>
        <w:t>they select the project's maturity stage</w:t>
      </w:r>
      <w:r>
        <w:rPr>
          <w:color w:val="2C2C2C"/>
        </w:rPr>
        <w:t xml:space="preserve">; the system automatically applies the correct domain weightings and surfaces the relevant information requirements and scoring prompts for </w:t>
      </w:r>
      <w:r>
        <w:rPr>
          <w:color w:val="2C2C2C"/>
        </w:rPr>
        <w:lastRenderedPageBreak/>
        <w:t xml:space="preserve">that stage. </w:t>
      </w:r>
      <w:r w:rsidRPr="00375AEA">
        <w:rPr>
          <w:color w:val="2C2C2C"/>
          <w:highlight w:val="yellow"/>
        </w:rPr>
        <w:t>Scoring is captured at the element level and aggregated to domain and composite scores automatically</w:t>
      </w:r>
      <w:r>
        <w:rPr>
          <w:color w:val="2C2C2C"/>
        </w:rPr>
        <w:t>.</w:t>
      </w:r>
    </w:p>
    <w:p w14:paraId="65BC67C1" w14:textId="77777777" w:rsidR="00D322E1" w:rsidRDefault="00000000">
      <w:pPr>
        <w:pStyle w:val="ListParagraph"/>
        <w:numPr>
          <w:ilvl w:val="0"/>
          <w:numId w:val="2"/>
        </w:numPr>
        <w:spacing w:before="40" w:after="60"/>
      </w:pPr>
      <w:r>
        <w:rPr>
          <w:color w:val="2C2C2C"/>
        </w:rPr>
        <w:t>Stage selection drives template configuration and domain weighting</w:t>
      </w:r>
    </w:p>
    <w:p w14:paraId="07E54BA1" w14:textId="77777777" w:rsidR="00D322E1" w:rsidRDefault="00000000">
      <w:pPr>
        <w:pStyle w:val="ListParagraph"/>
        <w:numPr>
          <w:ilvl w:val="0"/>
          <w:numId w:val="2"/>
        </w:numPr>
        <w:spacing w:before="40" w:after="60"/>
      </w:pPr>
      <w:r>
        <w:rPr>
          <w:color w:val="2C2C2C"/>
        </w:rPr>
        <w:t>Element-level scoring with Likelihood × Impact inherent risk calculation</w:t>
      </w:r>
    </w:p>
    <w:p w14:paraId="02932447" w14:textId="77777777" w:rsidR="00D322E1" w:rsidRDefault="00000000">
      <w:pPr>
        <w:pStyle w:val="ListParagraph"/>
        <w:numPr>
          <w:ilvl w:val="0"/>
          <w:numId w:val="2"/>
        </w:numPr>
        <w:spacing w:before="40" w:after="60"/>
      </w:pPr>
      <w:r>
        <w:rPr>
          <w:color w:val="2C2C2C"/>
        </w:rPr>
        <w:t>Control Effectiveness input to derive Residual Risk scores</w:t>
      </w:r>
    </w:p>
    <w:p w14:paraId="61E36187" w14:textId="77777777" w:rsidR="00D322E1" w:rsidRDefault="00000000">
      <w:pPr>
        <w:pStyle w:val="ListParagraph"/>
        <w:numPr>
          <w:ilvl w:val="0"/>
          <w:numId w:val="2"/>
        </w:numPr>
        <w:spacing w:before="40" w:after="60"/>
      </w:pPr>
      <w:r>
        <w:rPr>
          <w:color w:val="2C2C2C"/>
        </w:rPr>
        <w:t>Inline display of 'Information Required', 'Risk Signature', and 'Analyst Notes' fields from the Registry</w:t>
      </w:r>
    </w:p>
    <w:p w14:paraId="6B21588D" w14:textId="77777777" w:rsidR="00D322E1" w:rsidRDefault="00000000">
      <w:pPr>
        <w:pStyle w:val="ListParagraph"/>
        <w:numPr>
          <w:ilvl w:val="0"/>
          <w:numId w:val="2"/>
        </w:numPr>
        <w:spacing w:before="40" w:after="60"/>
      </w:pPr>
      <w:r>
        <w:rPr>
          <w:color w:val="2C2C2C"/>
        </w:rPr>
        <w:t>Mandatory evidence fields and document attachment capability</w:t>
      </w:r>
    </w:p>
    <w:p w14:paraId="794F0843" w14:textId="77777777" w:rsidR="00D322E1" w:rsidRDefault="00000000">
      <w:pPr>
        <w:pStyle w:val="ListParagraph"/>
        <w:numPr>
          <w:ilvl w:val="0"/>
          <w:numId w:val="2"/>
        </w:numPr>
        <w:spacing w:before="40" w:after="60"/>
      </w:pPr>
      <w:r>
        <w:rPr>
          <w:color w:val="2C2C2C"/>
        </w:rPr>
        <w:t>Draft / submitted / approved workflow states</w:t>
      </w:r>
    </w:p>
    <w:p w14:paraId="67FCFA08" w14:textId="77777777" w:rsidR="00D322E1" w:rsidRDefault="00D322E1">
      <w:pPr>
        <w:spacing w:before="40"/>
      </w:pPr>
    </w:p>
    <w:p w14:paraId="6F11034F" w14:textId="77777777" w:rsidR="00D322E1" w:rsidRDefault="00000000">
      <w:pPr>
        <w:spacing w:before="200" w:after="80"/>
      </w:pPr>
      <w:r>
        <w:rPr>
          <w:b/>
          <w:bCs/>
          <w:color w:val="1B3A5C"/>
        </w:rPr>
        <w:t>Module 3: Lookup Scales (replacing Lookup Scales)</w:t>
      </w:r>
    </w:p>
    <w:p w14:paraId="7AB8D7F2" w14:textId="77777777" w:rsidR="00D322E1" w:rsidRDefault="00000000">
      <w:pPr>
        <w:spacing w:before="60" w:after="100"/>
      </w:pPr>
      <w:r>
        <w:rPr>
          <w:color w:val="2C2C2C"/>
        </w:rPr>
        <w:t xml:space="preserve">A configurable scoring scale engine that governs how numeric scores map to qualitative risk labels (Not Applicable, Low Risk, Medium Risk, High Risk). The existing spreadsheet encodes a matrix of Likelihood (0–3) × Impact (0–3) for Inherent Risk, and a Residual Risk calculation that divides Inherent Risk by Control Effectiveness. These relationships are reproduced exactly in the Risk Engine, with the option for administrators to adjust thresholds </w:t>
      </w:r>
      <w:r w:rsidRPr="00375AEA">
        <w:rPr>
          <w:color w:val="2C2C2C"/>
          <w:highlight w:val="yellow"/>
        </w:rPr>
        <w:t>as TCA's methodology evolves.</w:t>
      </w:r>
    </w:p>
    <w:p w14:paraId="20414EA2" w14:textId="77777777" w:rsidR="00D322E1" w:rsidRDefault="00000000">
      <w:pPr>
        <w:pStyle w:val="ListParagraph"/>
        <w:numPr>
          <w:ilvl w:val="0"/>
          <w:numId w:val="2"/>
        </w:numPr>
        <w:spacing w:before="40" w:after="60"/>
      </w:pPr>
      <w:r>
        <w:rPr>
          <w:color w:val="2C2C2C"/>
        </w:rPr>
        <w:t>Configurable Likelihood scale (0–3) with label definitions</w:t>
      </w:r>
    </w:p>
    <w:p w14:paraId="0472701A" w14:textId="77777777" w:rsidR="00D322E1" w:rsidRDefault="00000000">
      <w:pPr>
        <w:pStyle w:val="ListParagraph"/>
        <w:numPr>
          <w:ilvl w:val="0"/>
          <w:numId w:val="2"/>
        </w:numPr>
        <w:spacing w:before="40" w:after="60"/>
      </w:pPr>
      <w:r>
        <w:rPr>
          <w:color w:val="2C2C2C"/>
        </w:rPr>
        <w:t>Configurable Impact scale (0–3) with label definitions</w:t>
      </w:r>
    </w:p>
    <w:p w14:paraId="3543415B" w14:textId="77777777" w:rsidR="00D322E1" w:rsidRDefault="00000000">
      <w:pPr>
        <w:pStyle w:val="ListParagraph"/>
        <w:numPr>
          <w:ilvl w:val="0"/>
          <w:numId w:val="2"/>
        </w:numPr>
        <w:spacing w:before="40" w:after="60"/>
      </w:pPr>
      <w:r>
        <w:rPr>
          <w:color w:val="2C2C2C"/>
        </w:rPr>
        <w:t>Inherent Risk = Likelihood × Impact (matrix lookup to qualitative band)</w:t>
      </w:r>
    </w:p>
    <w:p w14:paraId="702F0477" w14:textId="77777777" w:rsidR="00D322E1" w:rsidRDefault="00000000">
      <w:pPr>
        <w:pStyle w:val="ListParagraph"/>
        <w:numPr>
          <w:ilvl w:val="0"/>
          <w:numId w:val="2"/>
        </w:numPr>
        <w:spacing w:before="40" w:after="60"/>
      </w:pPr>
      <w:r>
        <w:rPr>
          <w:color w:val="2C2C2C"/>
        </w:rPr>
        <w:t>Residual Risk = Inherent Risk ÷ Control Effectiveness</w:t>
      </w:r>
    </w:p>
    <w:p w14:paraId="56CB4336" w14:textId="77777777" w:rsidR="00D322E1" w:rsidRDefault="00000000">
      <w:pPr>
        <w:pStyle w:val="ListParagraph"/>
        <w:numPr>
          <w:ilvl w:val="0"/>
          <w:numId w:val="2"/>
        </w:numPr>
        <w:spacing w:before="40" w:after="60"/>
      </w:pPr>
      <w:r>
        <w:rPr>
          <w:color w:val="2C2C2C"/>
        </w:rPr>
        <w:t xml:space="preserve">Qualitative threshold bands: Not Applicable / Low / Medium / </w:t>
      </w:r>
      <w:commentRangeStart w:id="0"/>
      <w:r>
        <w:rPr>
          <w:color w:val="2C2C2C"/>
        </w:rPr>
        <w:t>High</w:t>
      </w:r>
      <w:commentRangeEnd w:id="0"/>
      <w:r w:rsidR="00C97982">
        <w:rPr>
          <w:rStyle w:val="CommentReference"/>
          <w:sz w:val="20"/>
          <w:szCs w:val="20"/>
        </w:rPr>
        <w:commentReference w:id="0"/>
      </w:r>
    </w:p>
    <w:p w14:paraId="4EDE63BB" w14:textId="77777777" w:rsidR="00D322E1" w:rsidRDefault="00D322E1">
      <w:pPr>
        <w:spacing w:before="40"/>
      </w:pPr>
    </w:p>
    <w:p w14:paraId="44A4D31A" w14:textId="77777777" w:rsidR="00D322E1" w:rsidRDefault="00000000">
      <w:pPr>
        <w:spacing w:before="200" w:after="80"/>
      </w:pPr>
      <w:r>
        <w:rPr>
          <w:b/>
          <w:bCs/>
          <w:color w:val="1B3A5C"/>
        </w:rPr>
        <w:t>Module 4: Heat Maps (replacing Heat Maps)</w:t>
      </w:r>
    </w:p>
    <w:p w14:paraId="024361F1" w14:textId="77777777" w:rsidR="00D322E1" w:rsidRDefault="00000000">
      <w:pPr>
        <w:spacing w:before="60" w:after="100"/>
      </w:pPr>
      <w:r>
        <w:rPr>
          <w:color w:val="2C2C2C"/>
        </w:rPr>
        <w:t xml:space="preserve">An interactive visualisation layer that plots Inherent vs Residual risk scores across the five TCA domains for each project, and aggregates these views at portfolio level. </w:t>
      </w:r>
      <w:r w:rsidRPr="00C97982">
        <w:rPr>
          <w:color w:val="2C2C2C"/>
          <w:highlight w:val="yellow"/>
        </w:rPr>
        <w:t xml:space="preserve">The heat map is the primary decision-support output for R&amp;I analysts and the principal artefact shared with investment committee </w:t>
      </w:r>
      <w:commentRangeStart w:id="1"/>
      <w:r w:rsidRPr="00C97982">
        <w:rPr>
          <w:color w:val="2C2C2C"/>
          <w:highlight w:val="yellow"/>
        </w:rPr>
        <w:t>governance</w:t>
      </w:r>
      <w:commentRangeEnd w:id="1"/>
      <w:r w:rsidR="00C97982" w:rsidRPr="00C97982">
        <w:rPr>
          <w:rStyle w:val="CommentReference"/>
          <w:color w:val="2C2C2C"/>
          <w:sz w:val="20"/>
          <w:szCs w:val="20"/>
          <w:highlight w:val="yellow"/>
        </w:rPr>
        <w:commentReference w:id="1"/>
      </w:r>
      <w:r w:rsidRPr="00C97982">
        <w:rPr>
          <w:color w:val="2C2C2C"/>
          <w:highlight w:val="yellow"/>
        </w:rPr>
        <w:t>.</w:t>
      </w:r>
      <w:r>
        <w:rPr>
          <w:color w:val="2C2C2C"/>
        </w:rPr>
        <w:t xml:space="preserve"> The web application enables dynamic filtering, colour-coded risk banding, and drill-down from portfolio to project to domain level.</w:t>
      </w:r>
    </w:p>
    <w:p w14:paraId="6E1117B1" w14:textId="77777777" w:rsidR="00D322E1" w:rsidRDefault="00000000">
      <w:pPr>
        <w:pStyle w:val="ListParagraph"/>
        <w:numPr>
          <w:ilvl w:val="0"/>
          <w:numId w:val="2"/>
        </w:numPr>
        <w:spacing w:before="40" w:after="60"/>
      </w:pPr>
      <w:r>
        <w:rPr>
          <w:color w:val="2C2C2C"/>
        </w:rPr>
        <w:t>Per-project heat map: Inherent vs Residual risk by domain, with stage-sensitive weighting applied</w:t>
      </w:r>
    </w:p>
    <w:p w14:paraId="20C6C389" w14:textId="77777777" w:rsidR="00D322E1" w:rsidRDefault="00000000">
      <w:pPr>
        <w:pStyle w:val="ListParagraph"/>
        <w:numPr>
          <w:ilvl w:val="0"/>
          <w:numId w:val="2"/>
        </w:numPr>
        <w:spacing w:before="40" w:after="60"/>
      </w:pPr>
      <w:r>
        <w:rPr>
          <w:color w:val="2C2C2C"/>
        </w:rPr>
        <w:t xml:space="preserve">Portfolio heat map: aggregated risk profiles across all active </w:t>
      </w:r>
      <w:commentRangeStart w:id="2"/>
      <w:r>
        <w:rPr>
          <w:color w:val="2C2C2C"/>
        </w:rPr>
        <w:t>projects</w:t>
      </w:r>
      <w:commentRangeEnd w:id="2"/>
      <w:r w:rsidR="00C97982">
        <w:rPr>
          <w:rStyle w:val="CommentReference"/>
          <w:sz w:val="20"/>
          <w:szCs w:val="20"/>
        </w:rPr>
        <w:commentReference w:id="2"/>
      </w:r>
    </w:p>
    <w:p w14:paraId="04482E46" w14:textId="77777777" w:rsidR="00D322E1" w:rsidRDefault="00000000">
      <w:pPr>
        <w:pStyle w:val="ListParagraph"/>
        <w:numPr>
          <w:ilvl w:val="0"/>
          <w:numId w:val="2"/>
        </w:numPr>
        <w:spacing w:before="40" w:after="60"/>
      </w:pPr>
      <w:r>
        <w:rPr>
          <w:color w:val="2C2C2C"/>
        </w:rPr>
        <w:t>Colour-banded visualisation: green (Low), amber (Medium), red (High)</w:t>
      </w:r>
    </w:p>
    <w:p w14:paraId="6023DC30" w14:textId="77777777" w:rsidR="00D322E1" w:rsidRDefault="00000000">
      <w:pPr>
        <w:pStyle w:val="ListParagraph"/>
        <w:numPr>
          <w:ilvl w:val="0"/>
          <w:numId w:val="2"/>
        </w:numPr>
        <w:spacing w:before="40" w:after="60"/>
      </w:pPr>
      <w:r>
        <w:rPr>
          <w:color w:val="2C2C2C"/>
        </w:rPr>
        <w:t>Drill-down from domain to element level</w:t>
      </w:r>
    </w:p>
    <w:p w14:paraId="5AC31672" w14:textId="77777777" w:rsidR="00D322E1" w:rsidRDefault="00000000">
      <w:pPr>
        <w:pStyle w:val="ListParagraph"/>
        <w:numPr>
          <w:ilvl w:val="0"/>
          <w:numId w:val="2"/>
        </w:numPr>
        <w:spacing w:before="40" w:after="60"/>
      </w:pPr>
      <w:r>
        <w:rPr>
          <w:color w:val="2C2C2C"/>
        </w:rPr>
        <w:t xml:space="preserve">Export to PNG, PDF, or embedded in </w:t>
      </w:r>
      <w:r w:rsidRPr="00C97982">
        <w:rPr>
          <w:color w:val="2C2C2C"/>
          <w:highlight w:val="yellow"/>
        </w:rPr>
        <w:t>Viability Opinion Report</w:t>
      </w:r>
    </w:p>
    <w:p w14:paraId="0940FAAB" w14:textId="77777777" w:rsidR="00D322E1" w:rsidRDefault="00D322E1">
      <w:pPr>
        <w:spacing w:before="40"/>
      </w:pPr>
    </w:p>
    <w:p w14:paraId="1CDD3123" w14:textId="77777777" w:rsidR="00D322E1" w:rsidRDefault="00000000">
      <w:pPr>
        <w:spacing w:before="200" w:after="80"/>
      </w:pPr>
      <w:r>
        <w:rPr>
          <w:b/>
          <w:bCs/>
          <w:color w:val="1B3A5C"/>
        </w:rPr>
        <w:t xml:space="preserve">Module 5: Summary by Desk / Portfolio Dashboard (replacing Summary by </w:t>
      </w:r>
      <w:commentRangeStart w:id="3"/>
      <w:r>
        <w:rPr>
          <w:b/>
          <w:bCs/>
          <w:color w:val="1B3A5C"/>
        </w:rPr>
        <w:t>Desk</w:t>
      </w:r>
      <w:commentRangeEnd w:id="3"/>
      <w:r w:rsidR="00C97982">
        <w:rPr>
          <w:rStyle w:val="CommentReference"/>
          <w:b/>
          <w:bCs/>
          <w:color w:val="1B3A5C"/>
          <w:sz w:val="20"/>
          <w:szCs w:val="20"/>
        </w:rPr>
        <w:commentReference w:id="3"/>
      </w:r>
      <w:r>
        <w:rPr>
          <w:b/>
          <w:bCs/>
          <w:color w:val="1B3A5C"/>
        </w:rPr>
        <w:t>)</w:t>
      </w:r>
    </w:p>
    <w:p w14:paraId="6CB2DC56" w14:textId="77777777" w:rsidR="00D322E1" w:rsidRDefault="00000000">
      <w:pPr>
        <w:spacing w:before="60" w:after="100"/>
      </w:pPr>
      <w:r>
        <w:rPr>
          <w:color w:val="2C2C2C"/>
        </w:rPr>
        <w:t>An aggregated portfolio view that surfaces inherent and residual risk profiles across all projects under evaluation, grouped by analyst (Desk), project stage, risk domain, or composite score band. This replicates and extends the Summary by Desk sheet, which in the existing tool draws from the Pie Chart Data sheet via cell references. The web application replaces this with a live-calculated dashboard driven directly from submitted assessments.</w:t>
      </w:r>
    </w:p>
    <w:p w14:paraId="24BBBA2B" w14:textId="77777777" w:rsidR="00D322E1" w:rsidRDefault="00000000">
      <w:pPr>
        <w:pStyle w:val="ListParagraph"/>
        <w:numPr>
          <w:ilvl w:val="0"/>
          <w:numId w:val="2"/>
        </w:numPr>
        <w:spacing w:before="40" w:after="60"/>
      </w:pPr>
      <w:r>
        <w:rPr>
          <w:color w:val="2C2C2C"/>
        </w:rPr>
        <w:t>Analyst / Desk-level risk profile overview (Inherent and Residual)</w:t>
      </w:r>
    </w:p>
    <w:p w14:paraId="50E1BEE3" w14:textId="77777777" w:rsidR="00D322E1" w:rsidRDefault="00000000">
      <w:pPr>
        <w:pStyle w:val="ListParagraph"/>
        <w:numPr>
          <w:ilvl w:val="0"/>
          <w:numId w:val="2"/>
        </w:numPr>
        <w:spacing w:before="40" w:after="60"/>
      </w:pPr>
      <w:r>
        <w:rPr>
          <w:color w:val="2C2C2C"/>
        </w:rPr>
        <w:t>Portfolio composition by TCA composite risk grade (analogous to TCA's A/B/C/D/F or equivalent grade scale)</w:t>
      </w:r>
    </w:p>
    <w:p w14:paraId="7F64FE4D" w14:textId="77777777" w:rsidR="00D322E1" w:rsidRDefault="00000000">
      <w:pPr>
        <w:pStyle w:val="ListParagraph"/>
        <w:numPr>
          <w:ilvl w:val="0"/>
          <w:numId w:val="2"/>
        </w:numPr>
        <w:spacing w:before="40" w:after="60"/>
      </w:pPr>
      <w:r>
        <w:rPr>
          <w:color w:val="2C2C2C"/>
        </w:rPr>
        <w:t>Stage distribution view: how the portfolio is distributed across the six maturity stages</w:t>
      </w:r>
    </w:p>
    <w:p w14:paraId="607CC921" w14:textId="77777777" w:rsidR="00D322E1" w:rsidRDefault="00000000">
      <w:pPr>
        <w:pStyle w:val="ListParagraph"/>
        <w:numPr>
          <w:ilvl w:val="0"/>
          <w:numId w:val="2"/>
        </w:numPr>
        <w:spacing w:before="40" w:after="60"/>
      </w:pPr>
      <w:r>
        <w:rPr>
          <w:color w:val="2C2C2C"/>
        </w:rPr>
        <w:t>Domain risk concentration: which domains are driving portfolio-level risk</w:t>
      </w:r>
    </w:p>
    <w:p w14:paraId="2E3CEC41" w14:textId="77777777" w:rsidR="00D322E1" w:rsidRDefault="00000000">
      <w:pPr>
        <w:pStyle w:val="ListParagraph"/>
        <w:numPr>
          <w:ilvl w:val="0"/>
          <w:numId w:val="2"/>
        </w:numPr>
        <w:spacing w:before="40" w:after="60"/>
      </w:pPr>
      <w:r>
        <w:rPr>
          <w:color w:val="2C2C2C"/>
        </w:rPr>
        <w:t>Exportable summary tables for investment committee presentation</w:t>
      </w:r>
    </w:p>
    <w:p w14:paraId="7240375A" w14:textId="77777777" w:rsidR="00D322E1" w:rsidRDefault="00D322E1">
      <w:pPr>
        <w:spacing w:before="80"/>
      </w:pPr>
    </w:p>
    <w:p w14:paraId="24986B50" w14:textId="77777777" w:rsidR="00D322E1" w:rsidRDefault="00000000">
      <w:pPr>
        <w:pStyle w:val="Heading1"/>
      </w:pPr>
      <w:r>
        <w:t>4.  Technical Architecture and Development Approach</w:t>
      </w:r>
    </w:p>
    <w:p w14:paraId="06599A08" w14:textId="77777777" w:rsidR="00D322E1" w:rsidRDefault="00000000">
      <w:pPr>
        <w:pStyle w:val="Heading2"/>
        <w:pBdr>
          <w:bottom w:val="single" w:sz="4" w:space="4" w:color="2E6DA4"/>
        </w:pBdr>
      </w:pPr>
      <w:r>
        <w:t>4.1  Recommended Architecture</w:t>
      </w:r>
    </w:p>
    <w:p w14:paraId="3676E0B3" w14:textId="77777777" w:rsidR="00D322E1" w:rsidRDefault="00000000">
      <w:pPr>
        <w:spacing w:before="60" w:after="100"/>
      </w:pPr>
      <w:r>
        <w:rPr>
          <w:color w:val="2C2C2C"/>
        </w:rPr>
        <w:t xml:space="preserve">Given TCA's current operational scale, a pragmatic, security-conscious architecture is recommended that avoids unnecessary complexity while ensuring the platform can scale as the firm </w:t>
      </w:r>
      <w:commentRangeStart w:id="4"/>
      <w:r>
        <w:rPr>
          <w:color w:val="2C2C2C"/>
        </w:rPr>
        <w:t>grows</w:t>
      </w:r>
      <w:commentRangeEnd w:id="4"/>
      <w:r w:rsidR="00C97982">
        <w:rPr>
          <w:rStyle w:val="CommentReference"/>
          <w:color w:val="2C2C2C"/>
          <w:sz w:val="20"/>
          <w:szCs w:val="20"/>
        </w:rPr>
        <w:commentReference w:id="4"/>
      </w:r>
      <w:r>
        <w:rPr>
          <w:color w:val="2C2C2C"/>
        </w:rPr>
        <w:t>.</w:t>
      </w:r>
    </w:p>
    <w:p w14:paraId="09970AEC" w14:textId="77777777" w:rsidR="00D322E1" w:rsidRDefault="00000000">
      <w:pPr>
        <w:pStyle w:val="ListParagraph"/>
        <w:numPr>
          <w:ilvl w:val="0"/>
          <w:numId w:val="2"/>
        </w:numPr>
        <w:spacing w:before="40" w:after="60"/>
      </w:pPr>
      <w:r>
        <w:rPr>
          <w:color w:val="2C2C2C"/>
        </w:rPr>
        <w:t>Front-end: React.js single-page application with a responsive, analyst-optimised UI — accessible via modern web browser with no client-side installation required</w:t>
      </w:r>
    </w:p>
    <w:p w14:paraId="028AB5B0" w14:textId="77777777" w:rsidR="00D322E1" w:rsidRDefault="00000000">
      <w:pPr>
        <w:pStyle w:val="ListParagraph"/>
        <w:numPr>
          <w:ilvl w:val="0"/>
          <w:numId w:val="2"/>
        </w:numPr>
        <w:spacing w:before="40" w:after="60"/>
      </w:pPr>
      <w:r>
        <w:rPr>
          <w:color w:val="2C2C2C"/>
        </w:rPr>
        <w:t>Back-end: Node.js or Python (FastAPI) REST API layer responsible for business logic, scoring calculations, and workflow management</w:t>
      </w:r>
    </w:p>
    <w:p w14:paraId="1E68CC06" w14:textId="77777777" w:rsidR="00D322E1" w:rsidRDefault="00000000">
      <w:pPr>
        <w:pStyle w:val="ListParagraph"/>
        <w:numPr>
          <w:ilvl w:val="0"/>
          <w:numId w:val="2"/>
        </w:numPr>
        <w:spacing w:before="40" w:after="60"/>
      </w:pPr>
      <w:r>
        <w:rPr>
          <w:color w:val="2C2C2C"/>
        </w:rPr>
        <w:t>Database: PostgreSQL relational database for structured domain/element/assessment data, with a document store (e.g., AWS S3 or equivalent) for file attachments</w:t>
      </w:r>
    </w:p>
    <w:p w14:paraId="3567C6AB" w14:textId="77777777" w:rsidR="00D322E1" w:rsidRPr="00C97982" w:rsidRDefault="00000000">
      <w:pPr>
        <w:pStyle w:val="ListParagraph"/>
        <w:numPr>
          <w:ilvl w:val="0"/>
          <w:numId w:val="2"/>
        </w:numPr>
        <w:spacing w:before="40" w:after="60"/>
        <w:rPr>
          <w:highlight w:val="yellow"/>
        </w:rPr>
      </w:pPr>
      <w:r w:rsidRPr="00C97982">
        <w:rPr>
          <w:color w:val="2C2C2C"/>
          <w:highlight w:val="yellow"/>
        </w:rPr>
        <w:t>Authentication: Role-based access control (RBAC) with SSO integration capability; minimum roles of Analyst, Reviewer, Administrator, and Read-Only</w:t>
      </w:r>
    </w:p>
    <w:p w14:paraId="693D5959" w14:textId="77777777" w:rsidR="00D322E1" w:rsidRDefault="00000000">
      <w:pPr>
        <w:pStyle w:val="ListParagraph"/>
        <w:numPr>
          <w:ilvl w:val="0"/>
          <w:numId w:val="2"/>
        </w:numPr>
        <w:spacing w:before="40" w:after="60"/>
      </w:pPr>
      <w:r>
        <w:rPr>
          <w:color w:val="2C2C2C"/>
        </w:rPr>
        <w:t>Hosting: Cloud-hosted (AWS or Azure preferred) with SOC 2-aligned security controls; encrypted at rest and in transit</w:t>
      </w:r>
    </w:p>
    <w:p w14:paraId="71999341" w14:textId="77777777" w:rsidR="00D322E1" w:rsidRDefault="00000000">
      <w:pPr>
        <w:pStyle w:val="ListParagraph"/>
        <w:numPr>
          <w:ilvl w:val="0"/>
          <w:numId w:val="2"/>
        </w:numPr>
        <w:spacing w:before="40" w:after="60"/>
      </w:pPr>
      <w:r>
        <w:rPr>
          <w:color w:val="2C2C2C"/>
        </w:rPr>
        <w:t>Audit Log: Immutable event log capturing all data entry, edits, submissions, and approvals with user identity and timestamp</w:t>
      </w:r>
    </w:p>
    <w:p w14:paraId="2BB32258" w14:textId="77777777" w:rsidR="00D322E1" w:rsidRDefault="00D322E1">
      <w:pPr>
        <w:spacing w:before="40"/>
      </w:pPr>
    </w:p>
    <w:p w14:paraId="12395C05" w14:textId="77777777" w:rsidR="00D322E1" w:rsidRDefault="00000000">
      <w:pPr>
        <w:pStyle w:val="Heading2"/>
        <w:pBdr>
          <w:bottom w:val="single" w:sz="4" w:space="4" w:color="2E6DA4"/>
        </w:pBdr>
      </w:pPr>
      <w:r>
        <w:t>4.2  Data Migration</w:t>
      </w:r>
    </w:p>
    <w:p w14:paraId="3D8BDB52" w14:textId="77777777" w:rsidR="00D322E1" w:rsidRDefault="00000000">
      <w:pPr>
        <w:spacing w:before="60" w:after="100"/>
      </w:pPr>
      <w:r>
        <w:rPr>
          <w:color w:val="2C2C2C"/>
        </w:rPr>
        <w:t xml:space="preserve">The existing Risk Tool workbook and TCA Core Risk Domain Framework contain the master data that will seed the Risk Engine's Risk Domain Registry. A structured migration process is required to import the five domains, their elements, information requirements, risk signatures, data sources, and analyst notes into the Registry prior to go-live. </w:t>
      </w:r>
      <w:r w:rsidRPr="00C97982">
        <w:rPr>
          <w:color w:val="2C2C2C"/>
          <w:highlight w:val="yellow"/>
        </w:rPr>
        <w:t>The existing scoring scales from the Lookup Scales sheet will be translated into the system's configurable scale engine</w:t>
      </w:r>
      <w:r>
        <w:rPr>
          <w:color w:val="2C2C2C"/>
        </w:rPr>
        <w:t>.</w:t>
      </w:r>
    </w:p>
    <w:p w14:paraId="3969B8C6" w14:textId="77777777" w:rsidR="00D322E1" w:rsidRDefault="00000000">
      <w:pPr>
        <w:spacing w:before="60" w:after="100"/>
      </w:pPr>
      <w:r>
        <w:rPr>
          <w:color w:val="2C2C2C"/>
        </w:rPr>
        <w:t>No live assessment data currently exists in a structured form requiring migration; the system will be seeded from the master domain data only.</w:t>
      </w:r>
    </w:p>
    <w:p w14:paraId="27E2518F" w14:textId="77777777" w:rsidR="00D322E1" w:rsidRDefault="00D322E1">
      <w:pPr>
        <w:spacing w:before="40"/>
      </w:pPr>
    </w:p>
    <w:p w14:paraId="305F9552" w14:textId="77777777" w:rsidR="00D322E1" w:rsidRDefault="00000000">
      <w:pPr>
        <w:pStyle w:val="Heading2"/>
        <w:pBdr>
          <w:bottom w:val="single" w:sz="4" w:space="4" w:color="2E6DA4"/>
        </w:pBdr>
      </w:pPr>
      <w:r>
        <w:t>4.3  Phased Delivery</w:t>
      </w:r>
    </w:p>
    <w:p w14:paraId="5DF0315F" w14:textId="77777777" w:rsidR="00D322E1" w:rsidRDefault="00000000">
      <w:pPr>
        <w:spacing w:before="60" w:after="100"/>
      </w:pPr>
      <w:r>
        <w:rPr>
          <w:color w:val="2C2C2C"/>
        </w:rPr>
        <w:t>A four-phase delivery model is recommended, enabling early usability whilst managing development risk:</w:t>
      </w:r>
    </w:p>
    <w:p w14:paraId="62A2E765" w14:textId="77777777" w:rsidR="00D322E1" w:rsidRDefault="00D322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280"/>
        <w:gridCol w:w="2520"/>
        <w:gridCol w:w="3120"/>
      </w:tblGrid>
      <w:tr w:rsidR="00D322E1" w14:paraId="73DCA445" w14:textId="77777777">
        <w:tblPrEx>
          <w:tblCellMar>
            <w:top w:w="0" w:type="dxa"/>
            <w:bottom w:w="0" w:type="dxa"/>
          </w:tblCellMar>
        </w:tblPrEx>
        <w:tc>
          <w:tcPr>
            <w:tcW w:w="144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1E93FE63" w14:textId="77777777" w:rsidR="00D322E1" w:rsidRDefault="00000000">
            <w:r>
              <w:rPr>
                <w:b/>
                <w:bCs/>
                <w:color w:val="FFFFFF"/>
                <w:sz w:val="18"/>
                <w:szCs w:val="18"/>
              </w:rPr>
              <w:t>Phase</w:t>
            </w:r>
          </w:p>
        </w:tc>
        <w:tc>
          <w:tcPr>
            <w:tcW w:w="228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2E92D6A3" w14:textId="77777777" w:rsidR="00D322E1" w:rsidRDefault="00000000">
            <w:commentRangeStart w:id="5"/>
            <w:r>
              <w:rPr>
                <w:b/>
                <w:bCs/>
                <w:color w:val="FFFFFF"/>
                <w:sz w:val="18"/>
                <w:szCs w:val="18"/>
              </w:rPr>
              <w:t>Timeline</w:t>
            </w:r>
            <w:commentRangeEnd w:id="5"/>
            <w:r w:rsidR="00C97982">
              <w:rPr>
                <w:rStyle w:val="CommentReference"/>
                <w:sz w:val="20"/>
                <w:szCs w:val="20"/>
              </w:rPr>
              <w:commentReference w:id="5"/>
            </w:r>
          </w:p>
        </w:tc>
        <w:tc>
          <w:tcPr>
            <w:tcW w:w="25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5240E74E" w14:textId="77777777" w:rsidR="00D322E1" w:rsidRDefault="00000000">
            <w:r>
              <w:rPr>
                <w:b/>
                <w:bCs/>
                <w:color w:val="FFFFFF"/>
                <w:sz w:val="18"/>
                <w:szCs w:val="18"/>
              </w:rPr>
              <w:t>Modules Delivered</w:t>
            </w:r>
          </w:p>
        </w:tc>
        <w:tc>
          <w:tcPr>
            <w:tcW w:w="3120" w:type="dxa"/>
            <w:tcBorders>
              <w:top w:val="single" w:sz="4" w:space="0" w:color="1B3A5C"/>
              <w:left w:val="single" w:sz="4" w:space="0" w:color="1B3A5C"/>
              <w:bottom w:val="single" w:sz="4" w:space="0" w:color="1B3A5C"/>
              <w:right w:val="single" w:sz="4" w:space="0" w:color="1B3A5C"/>
            </w:tcBorders>
            <w:shd w:val="clear" w:color="auto" w:fill="1B3A5C"/>
            <w:tcMar>
              <w:top w:w="80" w:type="dxa"/>
              <w:left w:w="120" w:type="dxa"/>
              <w:bottom w:w="80" w:type="dxa"/>
              <w:right w:w="120" w:type="dxa"/>
            </w:tcMar>
          </w:tcPr>
          <w:p w14:paraId="1EF68F1A" w14:textId="77777777" w:rsidR="00D322E1" w:rsidRDefault="00000000">
            <w:r>
              <w:rPr>
                <w:b/>
                <w:bCs/>
                <w:color w:val="FFFFFF"/>
                <w:sz w:val="18"/>
                <w:szCs w:val="18"/>
              </w:rPr>
              <w:t>Key Deliverables</w:t>
            </w:r>
          </w:p>
        </w:tc>
      </w:tr>
      <w:tr w:rsidR="00D322E1" w14:paraId="3AF34BCE" w14:textId="77777777">
        <w:tblPrEx>
          <w:tblCellMar>
            <w:top w:w="0" w:type="dxa"/>
            <w:bottom w:w="0" w:type="dxa"/>
          </w:tblCellMar>
        </w:tblPrEx>
        <w:tc>
          <w:tcPr>
            <w:tcW w:w="144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7296E45F" w14:textId="77777777" w:rsidR="00D322E1" w:rsidRDefault="00000000">
            <w:pPr>
              <w:spacing w:before="20" w:after="20"/>
            </w:pPr>
            <w:r>
              <w:rPr>
                <w:color w:val="2C2C2C"/>
                <w:sz w:val="18"/>
                <w:szCs w:val="18"/>
              </w:rPr>
              <w:t>Phase 1</w:t>
            </w:r>
          </w:p>
        </w:tc>
        <w:tc>
          <w:tcPr>
            <w:tcW w:w="228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21C413B7" w14:textId="77777777" w:rsidR="00D322E1" w:rsidRDefault="00000000">
            <w:pPr>
              <w:spacing w:before="20" w:after="20"/>
            </w:pPr>
            <w:r>
              <w:rPr>
                <w:color w:val="2C2C2C"/>
                <w:sz w:val="18"/>
                <w:szCs w:val="18"/>
              </w:rPr>
              <w:t>Weeks 1–6</w:t>
            </w:r>
          </w:p>
        </w:tc>
        <w:tc>
          <w:tcPr>
            <w:tcW w:w="252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7A35090D" w14:textId="77777777" w:rsidR="00D322E1" w:rsidRDefault="00000000">
            <w:pPr>
              <w:spacing w:before="20" w:after="20"/>
            </w:pPr>
            <w:r>
              <w:rPr>
                <w:color w:val="2C2C2C"/>
                <w:sz w:val="18"/>
                <w:szCs w:val="18"/>
              </w:rPr>
              <w:t xml:space="preserve">Risk </w:t>
            </w:r>
            <w:commentRangeStart w:id="6"/>
            <w:r>
              <w:rPr>
                <w:color w:val="2C2C2C"/>
                <w:sz w:val="18"/>
                <w:szCs w:val="18"/>
              </w:rPr>
              <w:t>Definitions</w:t>
            </w:r>
            <w:commentRangeEnd w:id="6"/>
            <w:r w:rsidR="00C97982">
              <w:rPr>
                <w:rStyle w:val="CommentReference"/>
                <w:sz w:val="20"/>
                <w:szCs w:val="20"/>
              </w:rPr>
              <w:commentReference w:id="6"/>
            </w:r>
          </w:p>
          <w:p w14:paraId="5FA9330E" w14:textId="77777777" w:rsidR="00D322E1" w:rsidRDefault="00000000">
            <w:pPr>
              <w:spacing w:before="20" w:after="20"/>
            </w:pPr>
            <w:r>
              <w:rPr>
                <w:color w:val="2C2C2C"/>
                <w:sz w:val="18"/>
                <w:szCs w:val="18"/>
              </w:rPr>
              <w:t>Risk Domain Library</w:t>
            </w:r>
          </w:p>
        </w:tc>
        <w:tc>
          <w:tcPr>
            <w:tcW w:w="312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79187953" w14:textId="77777777" w:rsidR="00D322E1" w:rsidRDefault="00000000">
            <w:pPr>
              <w:spacing w:before="20" w:after="20"/>
            </w:pPr>
            <w:r>
              <w:rPr>
                <w:color w:val="2C2C2C"/>
                <w:sz w:val="18"/>
                <w:szCs w:val="18"/>
              </w:rPr>
              <w:t>Admin console with domain/element CRUD; scoring scale configuration; user role setup</w:t>
            </w:r>
          </w:p>
        </w:tc>
      </w:tr>
      <w:tr w:rsidR="00D322E1" w14:paraId="7A616F46" w14:textId="77777777">
        <w:tblPrEx>
          <w:tblCellMar>
            <w:top w:w="0" w:type="dxa"/>
            <w:bottom w:w="0" w:type="dxa"/>
          </w:tblCellMar>
        </w:tblPrEx>
        <w:tc>
          <w:tcPr>
            <w:tcW w:w="144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22AFF1FC" w14:textId="77777777" w:rsidR="00D322E1" w:rsidRDefault="00000000">
            <w:pPr>
              <w:spacing w:before="20" w:after="20"/>
            </w:pPr>
            <w:r>
              <w:rPr>
                <w:color w:val="2C2C2C"/>
                <w:sz w:val="18"/>
                <w:szCs w:val="18"/>
              </w:rPr>
              <w:t>Phase 2</w:t>
            </w:r>
          </w:p>
        </w:tc>
        <w:tc>
          <w:tcPr>
            <w:tcW w:w="228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52E30359" w14:textId="77777777" w:rsidR="00D322E1" w:rsidRDefault="00000000">
            <w:pPr>
              <w:spacing w:before="20" w:after="20"/>
            </w:pPr>
            <w:r>
              <w:rPr>
                <w:color w:val="2C2C2C"/>
                <w:sz w:val="18"/>
                <w:szCs w:val="18"/>
              </w:rPr>
              <w:t>Weeks 7–12</w:t>
            </w:r>
          </w:p>
        </w:tc>
        <w:tc>
          <w:tcPr>
            <w:tcW w:w="252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6A044D03" w14:textId="77777777" w:rsidR="00D322E1" w:rsidRDefault="00000000">
            <w:pPr>
              <w:spacing w:before="20" w:after="20"/>
            </w:pPr>
            <w:r>
              <w:rPr>
                <w:color w:val="2C2C2C"/>
                <w:sz w:val="18"/>
                <w:szCs w:val="18"/>
              </w:rPr>
              <w:t>Risk Templates</w:t>
            </w:r>
          </w:p>
          <w:p w14:paraId="420B6A92" w14:textId="77777777" w:rsidR="00D322E1" w:rsidRDefault="00000000">
            <w:pPr>
              <w:spacing w:before="20" w:after="20"/>
            </w:pPr>
            <w:r>
              <w:rPr>
                <w:color w:val="2C2C2C"/>
                <w:sz w:val="18"/>
                <w:szCs w:val="18"/>
              </w:rPr>
              <w:t>Lookup Scales</w:t>
            </w:r>
          </w:p>
        </w:tc>
        <w:tc>
          <w:tcPr>
            <w:tcW w:w="312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4B042DE4" w14:textId="77777777" w:rsidR="00D322E1" w:rsidRDefault="00000000">
            <w:pPr>
              <w:spacing w:before="20" w:after="20"/>
            </w:pPr>
            <w:r>
              <w:rPr>
                <w:color w:val="2C2C2C"/>
                <w:sz w:val="18"/>
                <w:szCs w:val="18"/>
              </w:rPr>
              <w:t>Dynamic assessment templates by project stage; weighted scoring engine; Inherent/Residual calculations</w:t>
            </w:r>
          </w:p>
        </w:tc>
      </w:tr>
      <w:tr w:rsidR="00D322E1" w14:paraId="2BF4599D" w14:textId="77777777">
        <w:tblPrEx>
          <w:tblCellMar>
            <w:top w:w="0" w:type="dxa"/>
            <w:bottom w:w="0" w:type="dxa"/>
          </w:tblCellMar>
        </w:tblPrEx>
        <w:tc>
          <w:tcPr>
            <w:tcW w:w="144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06F6BC68" w14:textId="77777777" w:rsidR="00D322E1" w:rsidRDefault="00000000">
            <w:pPr>
              <w:spacing w:before="20" w:after="20"/>
            </w:pPr>
            <w:r>
              <w:rPr>
                <w:color w:val="2C2C2C"/>
                <w:sz w:val="18"/>
                <w:szCs w:val="18"/>
              </w:rPr>
              <w:t>Phase 3</w:t>
            </w:r>
          </w:p>
        </w:tc>
        <w:tc>
          <w:tcPr>
            <w:tcW w:w="228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42A68B84" w14:textId="77777777" w:rsidR="00D322E1" w:rsidRDefault="00000000">
            <w:pPr>
              <w:spacing w:before="20" w:after="20"/>
            </w:pPr>
            <w:r>
              <w:rPr>
                <w:color w:val="2C2C2C"/>
                <w:sz w:val="18"/>
                <w:szCs w:val="18"/>
              </w:rPr>
              <w:t>Weeks 13–18</w:t>
            </w:r>
          </w:p>
        </w:tc>
        <w:tc>
          <w:tcPr>
            <w:tcW w:w="252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0A432777" w14:textId="77777777" w:rsidR="00D322E1" w:rsidRDefault="00000000">
            <w:pPr>
              <w:spacing w:before="20" w:after="20"/>
            </w:pPr>
            <w:r>
              <w:rPr>
                <w:color w:val="2C2C2C"/>
                <w:sz w:val="18"/>
                <w:szCs w:val="18"/>
              </w:rPr>
              <w:t>Heat Maps</w:t>
            </w:r>
          </w:p>
          <w:p w14:paraId="4D4DB1E8" w14:textId="77777777" w:rsidR="00D322E1" w:rsidRDefault="00000000">
            <w:pPr>
              <w:spacing w:before="20" w:after="20"/>
            </w:pPr>
            <w:r>
              <w:rPr>
                <w:color w:val="2C2C2C"/>
                <w:sz w:val="18"/>
                <w:szCs w:val="18"/>
              </w:rPr>
              <w:t>Summary by Desk</w:t>
            </w:r>
          </w:p>
        </w:tc>
        <w:tc>
          <w:tcPr>
            <w:tcW w:w="3120" w:type="dxa"/>
            <w:tcBorders>
              <w:top w:val="single" w:sz="4" w:space="0" w:color="C5CDD9"/>
              <w:left w:val="single" w:sz="4" w:space="0" w:color="C5CDD9"/>
              <w:bottom w:val="single" w:sz="4" w:space="0" w:color="C5CDD9"/>
              <w:right w:val="single" w:sz="4" w:space="0" w:color="C5CDD9"/>
            </w:tcBorders>
            <w:shd w:val="clear" w:color="auto" w:fill="F4F6F9"/>
            <w:tcMar>
              <w:top w:w="60" w:type="dxa"/>
              <w:left w:w="120" w:type="dxa"/>
              <w:bottom w:w="60" w:type="dxa"/>
              <w:right w:w="120" w:type="dxa"/>
            </w:tcMar>
          </w:tcPr>
          <w:p w14:paraId="38AEFB88" w14:textId="77777777" w:rsidR="00D322E1" w:rsidRDefault="00000000">
            <w:pPr>
              <w:spacing w:before="20" w:after="20"/>
            </w:pPr>
            <w:r>
              <w:rPr>
                <w:color w:val="2C2C2C"/>
                <w:sz w:val="18"/>
                <w:szCs w:val="18"/>
              </w:rPr>
              <w:t>Interactive heat map visualisations; composite score dashboards; portfolio roll-up views</w:t>
            </w:r>
          </w:p>
        </w:tc>
      </w:tr>
      <w:tr w:rsidR="00D322E1" w14:paraId="79CC9019" w14:textId="77777777">
        <w:tblPrEx>
          <w:tblCellMar>
            <w:top w:w="0" w:type="dxa"/>
            <w:bottom w:w="0" w:type="dxa"/>
          </w:tblCellMar>
        </w:tblPrEx>
        <w:tc>
          <w:tcPr>
            <w:tcW w:w="144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581EA145" w14:textId="77777777" w:rsidR="00D322E1" w:rsidRDefault="00000000">
            <w:pPr>
              <w:spacing w:before="20" w:after="20"/>
            </w:pPr>
            <w:r>
              <w:rPr>
                <w:color w:val="2C2C2C"/>
                <w:sz w:val="18"/>
                <w:szCs w:val="18"/>
              </w:rPr>
              <w:lastRenderedPageBreak/>
              <w:t>Phase 4</w:t>
            </w:r>
          </w:p>
        </w:tc>
        <w:tc>
          <w:tcPr>
            <w:tcW w:w="228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2A1DA79D" w14:textId="77777777" w:rsidR="00D322E1" w:rsidRDefault="00000000">
            <w:pPr>
              <w:spacing w:before="20" w:after="20"/>
            </w:pPr>
            <w:r>
              <w:rPr>
                <w:color w:val="2C2C2C"/>
                <w:sz w:val="18"/>
                <w:szCs w:val="18"/>
              </w:rPr>
              <w:t>Weeks 19–24</w:t>
            </w:r>
          </w:p>
        </w:tc>
        <w:tc>
          <w:tcPr>
            <w:tcW w:w="252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4EB3F9D1" w14:textId="77777777" w:rsidR="00D322E1" w:rsidRDefault="00000000">
            <w:pPr>
              <w:spacing w:before="20" w:after="20"/>
            </w:pPr>
            <w:r>
              <w:rPr>
                <w:color w:val="2C2C2C"/>
                <w:sz w:val="18"/>
                <w:szCs w:val="18"/>
              </w:rPr>
              <w:t>Reporting &amp; Governance</w:t>
            </w:r>
          </w:p>
        </w:tc>
        <w:tc>
          <w:tcPr>
            <w:tcW w:w="3120" w:type="dxa"/>
            <w:tcBorders>
              <w:top w:val="single" w:sz="4" w:space="0" w:color="C5CDD9"/>
              <w:left w:val="single" w:sz="4" w:space="0" w:color="C5CDD9"/>
              <w:bottom w:val="single" w:sz="4" w:space="0" w:color="C5CDD9"/>
              <w:right w:val="single" w:sz="4" w:space="0" w:color="C5CDD9"/>
            </w:tcBorders>
            <w:shd w:val="clear" w:color="auto" w:fill="FFFFFF"/>
            <w:tcMar>
              <w:top w:w="60" w:type="dxa"/>
              <w:left w:w="120" w:type="dxa"/>
              <w:bottom w:w="60" w:type="dxa"/>
              <w:right w:w="120" w:type="dxa"/>
            </w:tcMar>
          </w:tcPr>
          <w:p w14:paraId="6983A136" w14:textId="77777777" w:rsidR="00D322E1" w:rsidRDefault="00000000">
            <w:pPr>
              <w:spacing w:before="20" w:after="20"/>
            </w:pPr>
            <w:r>
              <w:rPr>
                <w:color w:val="2C2C2C"/>
                <w:sz w:val="18"/>
                <w:szCs w:val="18"/>
              </w:rPr>
              <w:t>Audit trail; export functions (PDF/Excel); analyst workflow and sign-off controls; user training</w:t>
            </w:r>
          </w:p>
        </w:tc>
      </w:tr>
    </w:tbl>
    <w:p w14:paraId="37C0F61C" w14:textId="77777777" w:rsidR="00D322E1" w:rsidRDefault="00D322E1">
      <w:pPr>
        <w:spacing w:before="60"/>
      </w:pPr>
    </w:p>
    <w:p w14:paraId="00AE60B9" w14:textId="77777777" w:rsidR="00D322E1" w:rsidRDefault="00D322E1">
      <w:pPr>
        <w:spacing w:before="80"/>
      </w:pPr>
    </w:p>
    <w:p w14:paraId="3CC156CC" w14:textId="77777777" w:rsidR="00D322E1" w:rsidRDefault="00000000">
      <w:pPr>
        <w:pStyle w:val="Heading1"/>
      </w:pPr>
      <w:r>
        <w:t>5.  Governance and Integration Considerations</w:t>
      </w:r>
    </w:p>
    <w:p w14:paraId="602BB5C9" w14:textId="77777777" w:rsidR="00D322E1" w:rsidRDefault="00000000">
      <w:pPr>
        <w:pStyle w:val="Heading2"/>
        <w:pBdr>
          <w:bottom w:val="single" w:sz="4" w:space="4" w:color="2E6DA4"/>
        </w:pBdr>
      </w:pPr>
      <w:r>
        <w:t>5.1  Separation of Research and Risk Functions</w:t>
      </w:r>
    </w:p>
    <w:p w14:paraId="07E9D7FC" w14:textId="77777777" w:rsidR="00D322E1" w:rsidRDefault="00000000">
      <w:pPr>
        <w:spacing w:before="60" w:after="100"/>
      </w:pPr>
      <w:r>
        <w:rPr>
          <w:color w:val="2C2C2C"/>
        </w:rPr>
        <w:t xml:space="preserve">The R&amp;I Framework explicitly requires that the Investment &amp; Research function produce the evaluative record, whilst the Risk function applies independent discipline and scoring governance. The TCA Risk Engine must support this separation operationally. </w:t>
      </w:r>
      <w:r w:rsidRPr="00C97982">
        <w:rPr>
          <w:color w:val="2C2C2C"/>
          <w:highlight w:val="yellow"/>
        </w:rPr>
        <w:t xml:space="preserve">The recommended mechanism is a workflow gate: analysts submit completed assessments, which are then reviewed and approved (or returned) by a designated Risk reviewer </w:t>
      </w:r>
      <w:commentRangeStart w:id="7"/>
      <w:r w:rsidRPr="00C97982">
        <w:rPr>
          <w:color w:val="2C2C2C"/>
          <w:highlight w:val="yellow"/>
        </w:rPr>
        <w:t>before</w:t>
      </w:r>
      <w:commentRangeEnd w:id="7"/>
      <w:r w:rsidR="00C97982" w:rsidRPr="00C97982">
        <w:rPr>
          <w:rStyle w:val="CommentReference"/>
          <w:color w:val="2C2C2C"/>
          <w:sz w:val="20"/>
          <w:szCs w:val="20"/>
          <w:highlight w:val="yellow"/>
        </w:rPr>
        <w:commentReference w:id="7"/>
      </w:r>
      <w:r w:rsidRPr="00C97982">
        <w:rPr>
          <w:color w:val="2C2C2C"/>
          <w:highlight w:val="yellow"/>
        </w:rPr>
        <w:t xml:space="preserve"> scores are locked and propagated to portfolio views</w:t>
      </w:r>
      <w:r>
        <w:rPr>
          <w:color w:val="2C2C2C"/>
        </w:rPr>
        <w:t>. The audit trail captures both the analyst's submission and the reviewer's disposition.</w:t>
      </w:r>
    </w:p>
    <w:p w14:paraId="310F8A9B" w14:textId="77777777" w:rsidR="00D322E1" w:rsidRDefault="00000000">
      <w:pPr>
        <w:pStyle w:val="Heading2"/>
        <w:pBdr>
          <w:bottom w:val="single" w:sz="4" w:space="4" w:color="2E6DA4"/>
        </w:pBdr>
      </w:pPr>
      <w:r>
        <w:t>5.2  Integration with the Viability Opinion Report</w:t>
      </w:r>
    </w:p>
    <w:p w14:paraId="3C452EA8" w14:textId="77777777" w:rsidR="00D322E1" w:rsidRDefault="00000000">
      <w:pPr>
        <w:spacing w:before="60" w:after="100"/>
      </w:pPr>
      <w:r>
        <w:rPr>
          <w:color w:val="2C2C2C"/>
        </w:rPr>
        <w:t xml:space="preserve">The R&amp;I Framework identifies the Viability Opinion Report (VOR) as the primary analytic deliverable. The Risk Engine should generate a structured risk section — including domain scores, heat map, and composite grade — that can be exported and embedded directly into the VOR template. This eliminates manual transcription of risk scores into reports and ensures the VOR always reflects the formally approved assessment </w:t>
      </w:r>
      <w:commentRangeStart w:id="8"/>
      <w:r>
        <w:rPr>
          <w:color w:val="2C2C2C"/>
        </w:rPr>
        <w:t>record</w:t>
      </w:r>
      <w:commentRangeEnd w:id="8"/>
      <w:r w:rsidR="00EF6A98">
        <w:rPr>
          <w:rStyle w:val="CommentReference"/>
          <w:color w:val="2C2C2C"/>
          <w:sz w:val="20"/>
          <w:szCs w:val="20"/>
        </w:rPr>
        <w:commentReference w:id="8"/>
      </w:r>
      <w:r>
        <w:rPr>
          <w:color w:val="2C2C2C"/>
        </w:rPr>
        <w:t>.</w:t>
      </w:r>
    </w:p>
    <w:p w14:paraId="451BAE69" w14:textId="77777777" w:rsidR="00D322E1" w:rsidRDefault="00000000">
      <w:pPr>
        <w:pStyle w:val="Heading2"/>
        <w:pBdr>
          <w:bottom w:val="single" w:sz="4" w:space="4" w:color="2E6DA4"/>
        </w:pBdr>
      </w:pPr>
      <w:r>
        <w:t>5.3  Scoring Methodology Governance</w:t>
      </w:r>
    </w:p>
    <w:p w14:paraId="51FEC1A5" w14:textId="77777777" w:rsidR="00D322E1" w:rsidRDefault="00000000">
      <w:pPr>
        <w:spacing w:before="60" w:after="100"/>
      </w:pPr>
      <w:r>
        <w:rPr>
          <w:color w:val="2C2C2C"/>
        </w:rPr>
        <w:t xml:space="preserve">The Lookup Scales and domain weighting configurations should be administrator-controlled and version-stamped. Changes to scoring methodology must not retroactively alter locked historical assessments. The system should support parallel methodology versions during transition periods, enabling comparison of </w:t>
      </w:r>
      <w:commentRangeStart w:id="9"/>
      <w:r>
        <w:rPr>
          <w:color w:val="2C2C2C"/>
        </w:rPr>
        <w:t>scores</w:t>
      </w:r>
      <w:commentRangeEnd w:id="9"/>
      <w:r w:rsidR="00EF6A98">
        <w:rPr>
          <w:rStyle w:val="CommentReference"/>
          <w:color w:val="2C2C2C"/>
          <w:sz w:val="20"/>
          <w:szCs w:val="20"/>
        </w:rPr>
        <w:commentReference w:id="9"/>
      </w:r>
      <w:r>
        <w:rPr>
          <w:color w:val="2C2C2C"/>
        </w:rPr>
        <w:t xml:space="preserve"> under old and new configurations.</w:t>
      </w:r>
    </w:p>
    <w:p w14:paraId="3557A611" w14:textId="77777777" w:rsidR="00D322E1" w:rsidRDefault="00000000">
      <w:pPr>
        <w:pStyle w:val="Heading2"/>
        <w:pBdr>
          <w:bottom w:val="single" w:sz="4" w:space="4" w:color="2E6DA4"/>
        </w:pBdr>
      </w:pPr>
      <w:r>
        <w:t>5.4  Future Extensibility</w:t>
      </w:r>
    </w:p>
    <w:p w14:paraId="7E8AACD1" w14:textId="77777777" w:rsidR="00D322E1" w:rsidRDefault="00000000">
      <w:pPr>
        <w:spacing w:before="60" w:after="100"/>
      </w:pPr>
      <w:r>
        <w:rPr>
          <w:color w:val="2C2C2C"/>
        </w:rPr>
        <w:t>The architecture should anticipate the following near-term extensions identified in TCA's strategic documents:</w:t>
      </w:r>
    </w:p>
    <w:p w14:paraId="2914DB8B" w14:textId="77777777" w:rsidR="00D322E1" w:rsidRDefault="00000000">
      <w:pPr>
        <w:pStyle w:val="ListParagraph"/>
        <w:numPr>
          <w:ilvl w:val="0"/>
          <w:numId w:val="2"/>
        </w:numPr>
        <w:spacing w:before="40" w:after="60"/>
      </w:pPr>
      <w:r>
        <w:rPr>
          <w:color w:val="2C2C2C"/>
        </w:rPr>
        <w:t>Multi-jurisdiction templates (UK/EU, Singapore) — the module architecture already accommodates these as jurisdiction variants within the Template module</w:t>
      </w:r>
    </w:p>
    <w:p w14:paraId="203722AA" w14:textId="77777777" w:rsidR="00D322E1" w:rsidRDefault="00000000">
      <w:pPr>
        <w:pStyle w:val="ListParagraph"/>
        <w:numPr>
          <w:ilvl w:val="0"/>
          <w:numId w:val="2"/>
        </w:numPr>
        <w:spacing w:before="40" w:after="60"/>
      </w:pPr>
      <w:r>
        <w:rPr>
          <w:color w:val="2C2C2C"/>
        </w:rPr>
        <w:t xml:space="preserve">Integration with external data sources (e.g., </w:t>
      </w:r>
      <w:r w:rsidRPr="00EF6A98">
        <w:rPr>
          <w:color w:val="2C2C2C"/>
          <w:highlight w:val="yellow"/>
        </w:rPr>
        <w:t>regulatory permit databases, well data services, commodity price feeds</w:t>
      </w:r>
      <w:r>
        <w:rPr>
          <w:color w:val="2C2C2C"/>
        </w:rPr>
        <w:t xml:space="preserve">) to pre-populate data fields and </w:t>
      </w:r>
      <w:r w:rsidRPr="00EF6A98">
        <w:rPr>
          <w:color w:val="2C2C2C"/>
          <w:highlight w:val="yellow"/>
        </w:rPr>
        <w:t>support automated risk signal detection</w:t>
      </w:r>
    </w:p>
    <w:p w14:paraId="7E398BF3" w14:textId="77777777" w:rsidR="00D322E1" w:rsidRDefault="00000000">
      <w:pPr>
        <w:pStyle w:val="ListParagraph"/>
        <w:numPr>
          <w:ilvl w:val="0"/>
          <w:numId w:val="2"/>
        </w:numPr>
        <w:spacing w:before="40" w:after="60"/>
      </w:pPr>
      <w:r>
        <w:rPr>
          <w:color w:val="2C2C2C"/>
        </w:rPr>
        <w:t>Tokenised asset compatibility — the scoring outputs are structured data that can be made available via API to support digital asset and blockchain-based transparency use cases described in the Structured Risk Intelligence Framework</w:t>
      </w:r>
    </w:p>
    <w:p w14:paraId="00BAF253" w14:textId="77777777" w:rsidR="00D322E1" w:rsidRDefault="00000000">
      <w:pPr>
        <w:pStyle w:val="ListParagraph"/>
        <w:numPr>
          <w:ilvl w:val="0"/>
          <w:numId w:val="2"/>
        </w:numPr>
        <w:spacing w:before="40" w:after="60"/>
      </w:pPr>
      <w:r>
        <w:rPr>
          <w:color w:val="2C2C2C"/>
        </w:rPr>
        <w:t>Investor-facing risk grade publication — a read-only portal layer for institutional investors to access TCA's published risk grades and methodology documentation</w:t>
      </w:r>
    </w:p>
    <w:p w14:paraId="1EEF162C" w14:textId="77777777" w:rsidR="00D322E1" w:rsidRDefault="00D322E1">
      <w:pPr>
        <w:spacing w:before="80"/>
      </w:pPr>
    </w:p>
    <w:p w14:paraId="55325C6B" w14:textId="77777777" w:rsidR="00D322E1" w:rsidRDefault="00000000">
      <w:pPr>
        <w:pStyle w:val="Heading1"/>
      </w:pPr>
      <w:r>
        <w:t>6.  Resource and Procurement Considerations</w:t>
      </w:r>
    </w:p>
    <w:p w14:paraId="08105053" w14:textId="77777777" w:rsidR="00D322E1" w:rsidRDefault="00000000">
      <w:pPr>
        <w:spacing w:before="60" w:after="100"/>
      </w:pPr>
      <w:r>
        <w:rPr>
          <w:color w:val="2C2C2C"/>
        </w:rPr>
        <w:t>The TCA Risk Engine is a bespoke enterprise application. TCA should evaluate two primary build routes:</w:t>
      </w:r>
    </w:p>
    <w:p w14:paraId="74E63B0B" w14:textId="77777777" w:rsidR="00D322E1" w:rsidRDefault="00000000">
      <w:pPr>
        <w:pStyle w:val="ListParagraph"/>
        <w:numPr>
          <w:ilvl w:val="0"/>
          <w:numId w:val="2"/>
        </w:numPr>
        <w:spacing w:before="40" w:after="60"/>
      </w:pPr>
      <w:r>
        <w:rPr>
          <w:color w:val="2C2C2C"/>
        </w:rPr>
        <w:t xml:space="preserve">Internal development — requires engagement of a full-stack development resource (1–2 engineers </w:t>
      </w:r>
      <w:commentRangeStart w:id="10"/>
      <w:r>
        <w:rPr>
          <w:color w:val="2C2C2C"/>
        </w:rPr>
        <w:t>for</w:t>
      </w:r>
      <w:commentRangeEnd w:id="10"/>
      <w:r w:rsidR="00EF6A98">
        <w:rPr>
          <w:rStyle w:val="CommentReference"/>
          <w:color w:val="2C2C2C"/>
          <w:sz w:val="20"/>
          <w:szCs w:val="20"/>
        </w:rPr>
        <w:commentReference w:id="10"/>
      </w:r>
      <w:r>
        <w:rPr>
          <w:color w:val="2C2C2C"/>
        </w:rPr>
        <w:t xml:space="preserve"> the initial build phases) and a product owner from the R&amp;I or Technology function. Recommended if TCA intends to maintain and extend the platform long-term.</w:t>
      </w:r>
    </w:p>
    <w:p w14:paraId="3F740C5B" w14:textId="77777777" w:rsidR="00D322E1" w:rsidRDefault="00000000">
      <w:pPr>
        <w:pStyle w:val="ListParagraph"/>
        <w:numPr>
          <w:ilvl w:val="0"/>
          <w:numId w:val="2"/>
        </w:numPr>
        <w:spacing w:before="40" w:after="60"/>
      </w:pPr>
      <w:r>
        <w:rPr>
          <w:color w:val="2C2C2C"/>
        </w:rPr>
        <w:lastRenderedPageBreak/>
        <w:t>External development partner — a specialist fintech or energy-sector software development firm engaged on a project basis. Recommended for speed of initial delivery. Requires robust contractual controls around IP ownership, data security, and post-delivery support.</w:t>
      </w:r>
    </w:p>
    <w:p w14:paraId="4FCAB256" w14:textId="77777777" w:rsidR="00EF6A98" w:rsidRDefault="00EF6A98">
      <w:pPr>
        <w:spacing w:before="60" w:after="100"/>
        <w:rPr>
          <w:color w:val="2C2C2C"/>
        </w:rPr>
      </w:pPr>
    </w:p>
    <w:p w14:paraId="620AE688" w14:textId="3BB2A758" w:rsidR="00D322E1" w:rsidRDefault="00000000">
      <w:pPr>
        <w:spacing w:before="60" w:after="100"/>
      </w:pPr>
      <w:r>
        <w:rPr>
          <w:color w:val="2C2C2C"/>
        </w:rPr>
        <w:t xml:space="preserve">Regardless of build route, the R&amp;I Function should appoint a Business </w:t>
      </w:r>
      <w:commentRangeStart w:id="11"/>
      <w:r>
        <w:rPr>
          <w:color w:val="2C2C2C"/>
        </w:rPr>
        <w:t>Owner</w:t>
      </w:r>
      <w:commentRangeEnd w:id="11"/>
      <w:r w:rsidR="00EF6A98">
        <w:rPr>
          <w:rStyle w:val="CommentReference"/>
          <w:color w:val="2C2C2C"/>
          <w:sz w:val="20"/>
          <w:szCs w:val="20"/>
        </w:rPr>
        <w:commentReference w:id="11"/>
      </w:r>
      <w:r>
        <w:rPr>
          <w:color w:val="2C2C2C"/>
        </w:rPr>
        <w:t xml:space="preserve"> for the Risk Engine who is accountable for requirements, user acceptance testing, and ongoing domain configuration. The existing Risk Tool workbook and the TCA Core Risk Domain Framework documents constitute the primary functional specification inputs.</w:t>
      </w:r>
    </w:p>
    <w:p w14:paraId="5DD6B002" w14:textId="77777777" w:rsidR="00EF6A98" w:rsidRDefault="00EF6A98">
      <w:pPr>
        <w:spacing w:before="60" w:after="100"/>
        <w:rPr>
          <w:color w:val="2C2C2C"/>
        </w:rPr>
      </w:pPr>
    </w:p>
    <w:p w14:paraId="573AE9B0" w14:textId="2E285F24" w:rsidR="00D322E1" w:rsidRDefault="00000000">
      <w:pPr>
        <w:spacing w:before="60" w:after="100"/>
      </w:pPr>
      <w:r>
        <w:rPr>
          <w:color w:val="2C2C2C"/>
        </w:rPr>
        <w:t>A formal requirements workshop, involving R&amp;I analysts and the Technology function, should be convened as the first step following approval of this proposal. That workshop should produce a detailed functional specification document that governs the Phase 1 build.</w:t>
      </w:r>
    </w:p>
    <w:p w14:paraId="0A23EF90" w14:textId="77777777" w:rsidR="00D322E1" w:rsidRDefault="00D322E1">
      <w:pPr>
        <w:spacing w:before="80"/>
      </w:pPr>
    </w:p>
    <w:p w14:paraId="1FAA2D00" w14:textId="77777777" w:rsidR="00D322E1" w:rsidRDefault="00000000">
      <w:pPr>
        <w:pStyle w:val="Heading1"/>
      </w:pPr>
      <w:r>
        <w:t>7.  Recommended Next Steps</w:t>
      </w:r>
    </w:p>
    <w:p w14:paraId="5E8D09A0" w14:textId="77777777" w:rsidR="00D322E1" w:rsidRDefault="00D322E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22E1" w14:paraId="075BB2D2" w14:textId="77777777">
        <w:tblPrEx>
          <w:tblCellMar>
            <w:top w:w="0" w:type="dxa"/>
            <w:bottom w:w="0" w:type="dxa"/>
          </w:tblCellMar>
        </w:tblPrEx>
        <w:tc>
          <w:tcPr>
            <w:tcW w:w="9360" w:type="dxa"/>
            <w:tcBorders>
              <w:top w:val="single" w:sz="4" w:space="0" w:color="2E6DA4"/>
              <w:left w:val="single" w:sz="4" w:space="0" w:color="2E6DA4"/>
              <w:bottom w:val="none" w:sz="0" w:space="0" w:color="FFFFFF"/>
              <w:right w:val="single" w:sz="4" w:space="0" w:color="2E6DA4"/>
            </w:tcBorders>
            <w:shd w:val="clear" w:color="auto" w:fill="1B3A5C"/>
            <w:tcMar>
              <w:top w:w="80" w:type="dxa"/>
              <w:left w:w="160" w:type="dxa"/>
              <w:bottom w:w="80" w:type="dxa"/>
              <w:right w:w="160" w:type="dxa"/>
            </w:tcMar>
          </w:tcPr>
          <w:p w14:paraId="63B73AE8" w14:textId="77777777" w:rsidR="00D322E1" w:rsidRDefault="00000000">
            <w:r>
              <w:rPr>
                <w:b/>
                <w:bCs/>
                <w:color w:val="FFFFFF"/>
              </w:rPr>
              <w:t>Action Items</w:t>
            </w:r>
          </w:p>
        </w:tc>
      </w:tr>
      <w:tr w:rsidR="00D322E1" w14:paraId="30B2D46D" w14:textId="77777777">
        <w:tblPrEx>
          <w:tblCellMar>
            <w:top w:w="0" w:type="dxa"/>
            <w:bottom w:w="0" w:type="dxa"/>
          </w:tblCellMar>
        </w:tblPrEx>
        <w:tc>
          <w:tcPr>
            <w:tcW w:w="9360" w:type="dxa"/>
            <w:tcBorders>
              <w:top w:val="none" w:sz="0" w:space="0" w:color="FFFFFF"/>
              <w:left w:val="single" w:sz="4" w:space="0" w:color="2E6DA4"/>
              <w:bottom w:val="single" w:sz="4" w:space="0" w:color="2E6DA4"/>
              <w:right w:val="single" w:sz="4" w:space="0" w:color="2E6DA4"/>
            </w:tcBorders>
            <w:shd w:val="clear" w:color="auto" w:fill="D6E4F0"/>
            <w:tcMar>
              <w:top w:w="100" w:type="dxa"/>
              <w:left w:w="160" w:type="dxa"/>
              <w:bottom w:w="100" w:type="dxa"/>
              <w:right w:w="160" w:type="dxa"/>
            </w:tcMar>
          </w:tcPr>
          <w:p w14:paraId="63E7E247" w14:textId="77777777" w:rsidR="00D322E1" w:rsidRDefault="00000000">
            <w:pPr>
              <w:spacing w:before="40" w:after="40"/>
            </w:pPr>
            <w:r>
              <w:rPr>
                <w:color w:val="1B3A5C"/>
              </w:rPr>
              <w:t>1.  Approve this memo and confirm mandate to proceed to requirements definition phase.</w:t>
            </w:r>
          </w:p>
          <w:p w14:paraId="51E09C47" w14:textId="77777777" w:rsidR="00D322E1" w:rsidRDefault="00000000">
            <w:pPr>
              <w:spacing w:before="40" w:after="40"/>
            </w:pPr>
            <w:r>
              <w:rPr>
                <w:color w:val="1B3A5C"/>
              </w:rPr>
              <w:t>2.  Appoint a Business Owner from the R&amp;I Function to own the Risk Engine initiative.</w:t>
            </w:r>
          </w:p>
          <w:p w14:paraId="30D82B82" w14:textId="77777777" w:rsidR="00D322E1" w:rsidRDefault="00000000">
            <w:pPr>
              <w:spacing w:before="40" w:after="40"/>
            </w:pPr>
            <w:r>
              <w:rPr>
                <w:color w:val="1B3A5C"/>
              </w:rPr>
              <w:t>3.  Convene a requirements workshop (R&amp;I + Technology) to produce a detailed functional specification.</w:t>
            </w:r>
          </w:p>
          <w:p w14:paraId="7009DA4A" w14:textId="77777777" w:rsidR="00D322E1" w:rsidRDefault="00000000">
            <w:pPr>
              <w:spacing w:before="40" w:after="40"/>
            </w:pPr>
            <w:r>
              <w:rPr>
                <w:color w:val="1B3A5C"/>
              </w:rPr>
              <w:t>4.  Evaluate build route options (internal vs. external development partner) and confirm procurement approach.</w:t>
            </w:r>
          </w:p>
          <w:p w14:paraId="45082E56" w14:textId="77777777" w:rsidR="00D322E1" w:rsidRDefault="00000000">
            <w:pPr>
              <w:spacing w:before="40" w:after="40"/>
            </w:pPr>
            <w:r>
              <w:rPr>
                <w:color w:val="1B3A5C"/>
              </w:rPr>
              <w:t>5.  Commission a data audit of the Risk Tool and TCA Core Risk Domain Framework to confirm completeness of the domain registry seed data.</w:t>
            </w:r>
          </w:p>
          <w:p w14:paraId="65E670FB" w14:textId="77777777" w:rsidR="00D322E1" w:rsidRDefault="00000000">
            <w:pPr>
              <w:spacing w:before="40" w:after="40"/>
            </w:pPr>
            <w:r>
              <w:rPr>
                <w:color w:val="1B3A5C"/>
              </w:rPr>
              <w:t>6.  Establish a project governance structure including steering committee representation from R&amp;I, Technology, and Risk.</w:t>
            </w:r>
          </w:p>
          <w:p w14:paraId="548941EC" w14:textId="77777777" w:rsidR="00D322E1" w:rsidRDefault="00000000">
            <w:pPr>
              <w:spacing w:before="40" w:after="40"/>
            </w:pPr>
            <w:r>
              <w:rPr>
                <w:color w:val="1B3A5C"/>
              </w:rPr>
              <w:t>7.  Target Phase 1 go-live within six weeks of project kick-off.</w:t>
            </w:r>
          </w:p>
        </w:tc>
      </w:tr>
    </w:tbl>
    <w:p w14:paraId="578C1D55" w14:textId="77777777" w:rsidR="00D322E1" w:rsidRDefault="00D322E1">
      <w:pPr>
        <w:spacing w:before="80"/>
      </w:pPr>
    </w:p>
    <w:p w14:paraId="354E2783" w14:textId="77777777" w:rsidR="00D322E1" w:rsidRDefault="00000000">
      <w:pPr>
        <w:pStyle w:val="Heading1"/>
      </w:pPr>
      <w:r>
        <w:t>8.  Conclusion</w:t>
      </w:r>
    </w:p>
    <w:p w14:paraId="124E9A12" w14:textId="77777777" w:rsidR="00D322E1" w:rsidRDefault="00000000">
      <w:pPr>
        <w:spacing w:before="60" w:after="100"/>
      </w:pPr>
      <w:r>
        <w:rPr>
          <w:color w:val="2C2C2C"/>
        </w:rPr>
        <w:t>The TCA Risk Engine represents a natural and strategically important evolution of TCA's analytical infrastructure. The existing Risk Tool has established the conceptual and operational foundation — five modules covering domain definitions, assessment templates, scoring scales, heat map visualisation, and portfolio aggregation — and the TCA Core Risk Domain Framework provides the detailed data model.</w:t>
      </w:r>
    </w:p>
    <w:p w14:paraId="6C7950F8" w14:textId="77777777" w:rsidR="00D322E1" w:rsidRDefault="00000000">
      <w:pPr>
        <w:spacing w:before="60" w:after="100"/>
      </w:pPr>
      <w:r>
        <w:rPr>
          <w:color w:val="2C2C2C"/>
        </w:rPr>
        <w:t>Transforming these artefacts into a governed, auditable, analyst-optimised web application will materially enhance TCA's capacity to deliver institutional-grade risk intelligence at scale, in a manner consistent with TCA's positioning as a structured, independent evaluator of upstream energy investments. The phased delivery approach enables early value realisation whilst managing implementation risk.</w:t>
      </w:r>
    </w:p>
    <w:p w14:paraId="05242F49" w14:textId="77777777" w:rsidR="00D322E1" w:rsidRDefault="00000000">
      <w:pPr>
        <w:spacing w:before="60" w:after="100"/>
      </w:pPr>
      <w:r>
        <w:rPr>
          <w:color w:val="2C2C2C"/>
        </w:rPr>
        <w:t>This initiative is recommended for approval and immediate progression to the requirements definition phase.</w:t>
      </w:r>
    </w:p>
    <w:p w14:paraId="5836BA4A" w14:textId="77777777" w:rsidR="00D322E1" w:rsidRDefault="00D322E1">
      <w:pPr>
        <w:spacing w:before="120"/>
      </w:pPr>
    </w:p>
    <w:p w14:paraId="4695A09E" w14:textId="77777777" w:rsidR="00D322E1" w:rsidRDefault="00000000">
      <w:pPr>
        <w:pBdr>
          <w:top w:val="single" w:sz="4" w:space="8" w:color="D0D7E0"/>
        </w:pBdr>
        <w:spacing w:after="40"/>
        <w:jc w:val="center"/>
      </w:pPr>
      <w:r>
        <w:rPr>
          <w:color w:val="888888"/>
          <w:sz w:val="16"/>
          <w:szCs w:val="16"/>
        </w:rPr>
        <w:t>TOKENCAP ADVISORS  ·  CONFIDENTIAL — FOR INTERNAL USE ONLY</w:t>
      </w:r>
    </w:p>
    <w:p w14:paraId="753FB146" w14:textId="77777777" w:rsidR="00D322E1" w:rsidRDefault="00000000">
      <w:pPr>
        <w:jc w:val="center"/>
      </w:pPr>
      <w:r>
        <w:rPr>
          <w:color w:val="AAAAAA"/>
          <w:sz w:val="16"/>
          <w:szCs w:val="16"/>
        </w:rPr>
        <w:t>This document contains proprietary methodology and operational information. Not for external distribution.</w:t>
      </w:r>
    </w:p>
    <w:sectPr w:rsidR="00D322E1">
      <w:pgSz w:w="12240" w:h="15840"/>
      <w:pgMar w:top="1440" w:right="1260" w:bottom="144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Berry" w:date="2026-03-19T13:56:00Z" w:initials="MB">
    <w:p w14:paraId="1795D2A4" w14:textId="77777777" w:rsidR="00C97982" w:rsidRDefault="00C97982" w:rsidP="00C97982">
      <w:pPr>
        <w:pStyle w:val="CommentText"/>
      </w:pPr>
      <w:r>
        <w:rPr>
          <w:rStyle w:val="CommentReference"/>
        </w:rPr>
        <w:annotationRef/>
      </w:r>
      <w:r>
        <w:t xml:space="preserve">I will want the output of this engine to feed directly into the research/ranking reports consistent with the criteria in </w:t>
      </w:r>
      <w:r>
        <w:rPr>
          <w:b/>
          <w:bCs/>
          <w:color w:val="2F5496"/>
        </w:rPr>
        <w:t>IV. Composite Risk Score &amp; Grading in the Intelligence Framework.</w:t>
      </w:r>
    </w:p>
  </w:comment>
  <w:comment w:id="1" w:author="Michael Berry" w:date="2026-03-19T13:57:00Z" w:initials="MB">
    <w:p w14:paraId="0393FECB" w14:textId="77777777" w:rsidR="00C97982" w:rsidRDefault="00C97982" w:rsidP="00C97982">
      <w:pPr>
        <w:pStyle w:val="CommentText"/>
      </w:pPr>
      <w:r>
        <w:rPr>
          <w:rStyle w:val="CommentReference"/>
        </w:rPr>
        <w:annotationRef/>
      </w:r>
      <w:r>
        <w:t xml:space="preserve">Not sure I agree with this. </w:t>
      </w:r>
    </w:p>
  </w:comment>
  <w:comment w:id="2" w:author="Michael Berry" w:date="2026-03-19T13:58:00Z" w:initials="MB">
    <w:p w14:paraId="30DE1757" w14:textId="77777777" w:rsidR="00C97982" w:rsidRDefault="00C97982" w:rsidP="00C97982">
      <w:pPr>
        <w:pStyle w:val="CommentText"/>
      </w:pPr>
      <w:r>
        <w:rPr>
          <w:rStyle w:val="CommentReference"/>
        </w:rPr>
        <w:annotationRef/>
      </w:r>
      <w:r>
        <w:t>Not everything we evaluate and rank will be an investment but I will still want the same information bucketed by invested v non-invested</w:t>
      </w:r>
    </w:p>
  </w:comment>
  <w:comment w:id="3" w:author="Michael Berry" w:date="2026-03-19T13:59:00Z" w:initials="MB">
    <w:p w14:paraId="48985669" w14:textId="77777777" w:rsidR="00C97982" w:rsidRDefault="00C97982" w:rsidP="00C97982">
      <w:pPr>
        <w:pStyle w:val="CommentText"/>
      </w:pPr>
      <w:r>
        <w:rPr>
          <w:rStyle w:val="CommentReference"/>
        </w:rPr>
        <w:annotationRef/>
      </w:r>
      <w:r>
        <w:t>I will rethink this entire section.</w:t>
      </w:r>
    </w:p>
  </w:comment>
  <w:comment w:id="4" w:author="Michael Berry" w:date="2026-03-19T14:01:00Z" w:initials="MB">
    <w:p w14:paraId="1878DBDE" w14:textId="77777777" w:rsidR="00C97982" w:rsidRDefault="00C97982" w:rsidP="00C97982">
      <w:pPr>
        <w:pStyle w:val="CommentText"/>
      </w:pPr>
      <w:r>
        <w:rPr>
          <w:rStyle w:val="CommentReference"/>
        </w:rPr>
        <w:annotationRef/>
      </w:r>
      <w:r>
        <w:t xml:space="preserve">Provide update TCA technical architecture </w:t>
      </w:r>
    </w:p>
  </w:comment>
  <w:comment w:id="5" w:author="Michael Berry" w:date="2026-03-19T14:04:00Z" w:initials="MB">
    <w:p w14:paraId="33354166" w14:textId="77777777" w:rsidR="00C97982" w:rsidRDefault="00C97982" w:rsidP="00C97982">
      <w:pPr>
        <w:pStyle w:val="CommentText"/>
      </w:pPr>
      <w:r>
        <w:rPr>
          <w:rStyle w:val="CommentReference"/>
        </w:rPr>
        <w:annotationRef/>
      </w:r>
      <w:r>
        <w:t xml:space="preserve">Cut everything in half, at a minimum. </w:t>
      </w:r>
    </w:p>
  </w:comment>
  <w:comment w:id="6" w:author="Michael Berry" w:date="2026-03-19T14:03:00Z" w:initials="MB">
    <w:p w14:paraId="5D37A314" w14:textId="77777777" w:rsidR="00C97982" w:rsidRDefault="00C97982" w:rsidP="00C97982">
      <w:pPr>
        <w:pStyle w:val="CommentText"/>
      </w:pPr>
      <w:r>
        <w:rPr>
          <w:rStyle w:val="CommentReference"/>
        </w:rPr>
        <w:annotationRef/>
      </w:r>
      <w:r>
        <w:t xml:space="preserve">This is what Ella is doing now in the E&amp;P vertical. We will do together on the verticals to be created. </w:t>
      </w:r>
    </w:p>
  </w:comment>
  <w:comment w:id="7" w:author="Michael Berry" w:date="2026-03-19T14:05:00Z" w:initials="MB">
    <w:p w14:paraId="77A46F79" w14:textId="77777777" w:rsidR="00C97982" w:rsidRDefault="00C97982" w:rsidP="00C97982">
      <w:pPr>
        <w:pStyle w:val="CommentText"/>
      </w:pPr>
      <w:r>
        <w:rPr>
          <w:rStyle w:val="CommentReference"/>
        </w:rPr>
        <w:annotationRef/>
      </w:r>
      <w:r>
        <w:t xml:space="preserve">I think I am completely automating the risk part where the oversight Risk wise will be at the Domain Sheet level. </w:t>
      </w:r>
    </w:p>
  </w:comment>
  <w:comment w:id="8" w:author="Michael Berry" w:date="2026-03-19T14:06:00Z" w:initials="MB">
    <w:p w14:paraId="0857A108" w14:textId="77777777" w:rsidR="00EF6A98" w:rsidRDefault="00EF6A98" w:rsidP="00EF6A98">
      <w:pPr>
        <w:pStyle w:val="CommentText"/>
      </w:pPr>
      <w:r>
        <w:rPr>
          <w:rStyle w:val="CommentReference"/>
        </w:rPr>
        <w:annotationRef/>
      </w:r>
      <w:r>
        <w:t>Exactly</w:t>
      </w:r>
    </w:p>
  </w:comment>
  <w:comment w:id="9" w:author="Michael Berry" w:date="2026-03-19T14:07:00Z" w:initials="MB">
    <w:p w14:paraId="4E256C8C" w14:textId="77777777" w:rsidR="00EF6A98" w:rsidRDefault="00EF6A98" w:rsidP="00EF6A98">
      <w:pPr>
        <w:pStyle w:val="CommentText"/>
      </w:pPr>
      <w:r>
        <w:rPr>
          <w:rStyle w:val="CommentReference"/>
        </w:rPr>
        <w:annotationRef/>
      </w:r>
      <w:r>
        <w:t xml:space="preserve">This is where the “management” of the risk function will take place. This will be analogous to the “Investment Committee” </w:t>
      </w:r>
    </w:p>
  </w:comment>
  <w:comment w:id="10" w:author="Michael Berry" w:date="2026-03-19T14:09:00Z" w:initials="MB">
    <w:p w14:paraId="102B24F4" w14:textId="77777777" w:rsidR="00EF6A98" w:rsidRDefault="00EF6A98" w:rsidP="00EF6A98">
      <w:pPr>
        <w:pStyle w:val="CommentText"/>
      </w:pPr>
      <w:r>
        <w:rPr>
          <w:rStyle w:val="CommentReference"/>
        </w:rPr>
        <w:annotationRef/>
      </w:r>
      <w:r>
        <w:t xml:space="preserve">I pick internal development IF I am right about the Claude capabilities. </w:t>
      </w:r>
    </w:p>
  </w:comment>
  <w:comment w:id="11" w:author="Michael Berry" w:date="2026-03-19T14:10:00Z" w:initials="MB">
    <w:p w14:paraId="35CDD569" w14:textId="77777777" w:rsidR="00EF6A98" w:rsidRDefault="00EF6A98" w:rsidP="00EF6A98">
      <w:pPr>
        <w:pStyle w:val="CommentText"/>
      </w:pPr>
      <w:r>
        <w:rPr>
          <w:rStyle w:val="CommentReference"/>
        </w:rPr>
        <w:annotationRef/>
      </w:r>
      <w:r>
        <w:t>That is MRB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95D2A4" w15:done="0"/>
  <w15:commentEx w15:paraId="0393FECB" w15:done="0"/>
  <w15:commentEx w15:paraId="30DE1757" w15:done="0"/>
  <w15:commentEx w15:paraId="48985669" w15:done="0"/>
  <w15:commentEx w15:paraId="1878DBDE" w15:done="0"/>
  <w15:commentEx w15:paraId="33354166" w15:done="0"/>
  <w15:commentEx w15:paraId="5D37A314" w15:done="0"/>
  <w15:commentEx w15:paraId="77A46F79" w15:done="0"/>
  <w15:commentEx w15:paraId="0857A108" w15:done="0"/>
  <w15:commentEx w15:paraId="4E256C8C" w15:done="0"/>
  <w15:commentEx w15:paraId="102B24F4" w15:done="0"/>
  <w15:commentEx w15:paraId="35CDD5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13DA63" w16cex:dateUtc="2026-03-19T18:56:00Z"/>
  <w16cex:commentExtensible w16cex:durableId="40E3789C" w16cex:dateUtc="2026-03-19T18:57:00Z"/>
  <w16cex:commentExtensible w16cex:durableId="417D26C3" w16cex:dateUtc="2026-03-19T18:58:00Z"/>
  <w16cex:commentExtensible w16cex:durableId="4798931E" w16cex:dateUtc="2026-03-19T18:59:00Z"/>
  <w16cex:commentExtensible w16cex:durableId="20EFD971" w16cex:dateUtc="2026-03-19T19:01:00Z"/>
  <w16cex:commentExtensible w16cex:durableId="2EAD4914" w16cex:dateUtc="2026-03-19T19:04:00Z"/>
  <w16cex:commentExtensible w16cex:durableId="798856DE" w16cex:dateUtc="2026-03-19T19:03:00Z"/>
  <w16cex:commentExtensible w16cex:durableId="7A71A46C" w16cex:dateUtc="2026-03-19T19:05:00Z"/>
  <w16cex:commentExtensible w16cex:durableId="1AADBC0C" w16cex:dateUtc="2026-03-19T19:06:00Z"/>
  <w16cex:commentExtensible w16cex:durableId="378C40E4" w16cex:dateUtc="2026-03-19T19:07:00Z"/>
  <w16cex:commentExtensible w16cex:durableId="424C3108" w16cex:dateUtc="2026-03-19T19:09:00Z"/>
  <w16cex:commentExtensible w16cex:durableId="5229FC73" w16cex:dateUtc="2026-03-19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95D2A4" w16cid:durableId="3613DA63"/>
  <w16cid:commentId w16cid:paraId="0393FECB" w16cid:durableId="40E3789C"/>
  <w16cid:commentId w16cid:paraId="30DE1757" w16cid:durableId="417D26C3"/>
  <w16cid:commentId w16cid:paraId="48985669" w16cid:durableId="4798931E"/>
  <w16cid:commentId w16cid:paraId="1878DBDE" w16cid:durableId="20EFD971"/>
  <w16cid:commentId w16cid:paraId="33354166" w16cid:durableId="2EAD4914"/>
  <w16cid:commentId w16cid:paraId="5D37A314" w16cid:durableId="798856DE"/>
  <w16cid:commentId w16cid:paraId="77A46F79" w16cid:durableId="7A71A46C"/>
  <w16cid:commentId w16cid:paraId="0857A108" w16cid:durableId="1AADBC0C"/>
  <w16cid:commentId w16cid:paraId="4E256C8C" w16cid:durableId="378C40E4"/>
  <w16cid:commentId w16cid:paraId="102B24F4" w16cid:durableId="424C3108"/>
  <w16cid:commentId w16cid:paraId="35CDD569" w16cid:durableId="5229FC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017C"/>
    <w:multiLevelType w:val="hybridMultilevel"/>
    <w:tmpl w:val="67B872DA"/>
    <w:lvl w:ilvl="0" w:tplc="7CDECFE2">
      <w:start w:val="1"/>
      <w:numFmt w:val="bullet"/>
      <w:lvlText w:val="•"/>
      <w:lvlJc w:val="left"/>
      <w:pPr>
        <w:ind w:left="560" w:hanging="280"/>
      </w:pPr>
    </w:lvl>
    <w:lvl w:ilvl="1" w:tplc="9AD2F210">
      <w:start w:val="1"/>
      <w:numFmt w:val="bullet"/>
      <w:lvlText w:val="◦"/>
      <w:lvlJc w:val="left"/>
      <w:pPr>
        <w:ind w:left="1000" w:hanging="280"/>
      </w:pPr>
    </w:lvl>
    <w:lvl w:ilvl="2" w:tplc="CE9CE37A">
      <w:numFmt w:val="decimal"/>
      <w:lvlText w:val=""/>
      <w:lvlJc w:val="left"/>
    </w:lvl>
    <w:lvl w:ilvl="3" w:tplc="7FFEDA5A">
      <w:numFmt w:val="decimal"/>
      <w:lvlText w:val=""/>
      <w:lvlJc w:val="left"/>
    </w:lvl>
    <w:lvl w:ilvl="4" w:tplc="555E7710">
      <w:numFmt w:val="decimal"/>
      <w:lvlText w:val=""/>
      <w:lvlJc w:val="left"/>
    </w:lvl>
    <w:lvl w:ilvl="5" w:tplc="33DA80B8">
      <w:numFmt w:val="decimal"/>
      <w:lvlText w:val=""/>
      <w:lvlJc w:val="left"/>
    </w:lvl>
    <w:lvl w:ilvl="6" w:tplc="A8B2241C">
      <w:numFmt w:val="decimal"/>
      <w:lvlText w:val=""/>
      <w:lvlJc w:val="left"/>
    </w:lvl>
    <w:lvl w:ilvl="7" w:tplc="C1427106">
      <w:numFmt w:val="decimal"/>
      <w:lvlText w:val=""/>
      <w:lvlJc w:val="left"/>
    </w:lvl>
    <w:lvl w:ilvl="8" w:tplc="6DFE0E2A">
      <w:numFmt w:val="decimal"/>
      <w:lvlText w:val=""/>
      <w:lvlJc w:val="left"/>
    </w:lvl>
  </w:abstractNum>
  <w:abstractNum w:abstractNumId="1" w15:restartNumberingAfterBreak="0">
    <w:nsid w:val="5830615B"/>
    <w:multiLevelType w:val="hybridMultilevel"/>
    <w:tmpl w:val="6DB05AC2"/>
    <w:lvl w:ilvl="0" w:tplc="4DBC874E">
      <w:start w:val="1"/>
      <w:numFmt w:val="bullet"/>
      <w:lvlText w:val="●"/>
      <w:lvlJc w:val="left"/>
      <w:pPr>
        <w:ind w:left="720" w:hanging="360"/>
      </w:pPr>
    </w:lvl>
    <w:lvl w:ilvl="1" w:tplc="51CA16A4">
      <w:start w:val="1"/>
      <w:numFmt w:val="bullet"/>
      <w:lvlText w:val="○"/>
      <w:lvlJc w:val="left"/>
      <w:pPr>
        <w:ind w:left="1440" w:hanging="360"/>
      </w:pPr>
    </w:lvl>
    <w:lvl w:ilvl="2" w:tplc="012AE90C">
      <w:start w:val="1"/>
      <w:numFmt w:val="bullet"/>
      <w:lvlText w:val="■"/>
      <w:lvlJc w:val="left"/>
      <w:pPr>
        <w:ind w:left="2160" w:hanging="360"/>
      </w:pPr>
    </w:lvl>
    <w:lvl w:ilvl="3" w:tplc="FDAC4664">
      <w:start w:val="1"/>
      <w:numFmt w:val="bullet"/>
      <w:lvlText w:val="●"/>
      <w:lvlJc w:val="left"/>
      <w:pPr>
        <w:ind w:left="2880" w:hanging="360"/>
      </w:pPr>
    </w:lvl>
    <w:lvl w:ilvl="4" w:tplc="C68C7AD6">
      <w:start w:val="1"/>
      <w:numFmt w:val="bullet"/>
      <w:lvlText w:val="○"/>
      <w:lvlJc w:val="left"/>
      <w:pPr>
        <w:ind w:left="3600" w:hanging="360"/>
      </w:pPr>
    </w:lvl>
    <w:lvl w:ilvl="5" w:tplc="F334A9A0">
      <w:start w:val="1"/>
      <w:numFmt w:val="bullet"/>
      <w:lvlText w:val="■"/>
      <w:lvlJc w:val="left"/>
      <w:pPr>
        <w:ind w:left="4320" w:hanging="360"/>
      </w:pPr>
    </w:lvl>
    <w:lvl w:ilvl="6" w:tplc="E0908CA0">
      <w:start w:val="1"/>
      <w:numFmt w:val="bullet"/>
      <w:lvlText w:val="●"/>
      <w:lvlJc w:val="left"/>
      <w:pPr>
        <w:ind w:left="5040" w:hanging="360"/>
      </w:pPr>
    </w:lvl>
    <w:lvl w:ilvl="7" w:tplc="3C9C95A0">
      <w:start w:val="1"/>
      <w:numFmt w:val="bullet"/>
      <w:lvlText w:val="●"/>
      <w:lvlJc w:val="left"/>
      <w:pPr>
        <w:ind w:left="5760" w:hanging="360"/>
      </w:pPr>
    </w:lvl>
    <w:lvl w:ilvl="8" w:tplc="94BA1096">
      <w:start w:val="1"/>
      <w:numFmt w:val="bullet"/>
      <w:lvlText w:val="●"/>
      <w:lvlJc w:val="left"/>
      <w:pPr>
        <w:ind w:left="6480" w:hanging="360"/>
      </w:pPr>
    </w:lvl>
  </w:abstractNum>
  <w:num w:numId="1" w16cid:durableId="1449395648">
    <w:abstractNumId w:val="1"/>
    <w:lvlOverride w:ilvl="0">
      <w:startOverride w:val="1"/>
    </w:lvlOverride>
  </w:num>
  <w:num w:numId="2" w16cid:durableId="136421390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Berry">
    <w15:presenceInfo w15:providerId="AD" w15:userId="S::mrb@2678holdings.com::e5f3bdc2-6334-41e5-9300-f43940320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E1"/>
    <w:rsid w:val="00037D75"/>
    <w:rsid w:val="001135B1"/>
    <w:rsid w:val="0033636A"/>
    <w:rsid w:val="00375AEA"/>
    <w:rsid w:val="004D7489"/>
    <w:rsid w:val="0065645F"/>
    <w:rsid w:val="00C97982"/>
    <w:rsid w:val="00D322E1"/>
    <w:rsid w:val="00EF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1DF2"/>
  <w15:docId w15:val="{F25ED589-DC61-431D-BE09-15BD1C37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26"/>
      <w:szCs w:val="26"/>
    </w:rPr>
  </w:style>
  <w:style w:type="paragraph" w:styleId="Heading2">
    <w:name w:val="heading 2"/>
    <w:uiPriority w:val="9"/>
    <w:unhideWhenUsed/>
    <w:qFormat/>
    <w:pPr>
      <w:spacing w:before="240" w:after="120"/>
      <w:outlineLvl w:val="1"/>
    </w:pPr>
    <w:rPr>
      <w:b/>
      <w:bCs/>
      <w:color w:val="2E6DA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C97982"/>
    <w:rPr>
      <w:sz w:val="16"/>
      <w:szCs w:val="16"/>
    </w:rPr>
  </w:style>
  <w:style w:type="paragraph" w:styleId="CommentText">
    <w:name w:val="annotation text"/>
    <w:basedOn w:val="Normal"/>
    <w:link w:val="CommentTextChar"/>
    <w:uiPriority w:val="99"/>
    <w:unhideWhenUsed/>
    <w:rsid w:val="00C97982"/>
  </w:style>
  <w:style w:type="character" w:customStyle="1" w:styleId="CommentTextChar">
    <w:name w:val="Comment Text Char"/>
    <w:basedOn w:val="DefaultParagraphFont"/>
    <w:link w:val="CommentText"/>
    <w:uiPriority w:val="99"/>
    <w:rsid w:val="00C97982"/>
  </w:style>
  <w:style w:type="paragraph" w:styleId="CommentSubject">
    <w:name w:val="annotation subject"/>
    <w:basedOn w:val="CommentText"/>
    <w:next w:val="CommentText"/>
    <w:link w:val="CommentSubjectChar"/>
    <w:uiPriority w:val="99"/>
    <w:semiHidden/>
    <w:unhideWhenUsed/>
    <w:rsid w:val="00C97982"/>
    <w:rPr>
      <w:b/>
      <w:bCs/>
    </w:rPr>
  </w:style>
  <w:style w:type="character" w:customStyle="1" w:styleId="CommentSubjectChar">
    <w:name w:val="Comment Subject Char"/>
    <w:basedOn w:val="CommentTextChar"/>
    <w:link w:val="CommentSubject"/>
    <w:uiPriority w:val="99"/>
    <w:semiHidden/>
    <w:rsid w:val="00C97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2327</Words>
  <Characters>15572</Characters>
  <Application>Microsoft Office Word</Application>
  <DocSecurity>0</DocSecurity>
  <Lines>778</Lines>
  <Paragraphs>526</Paragraphs>
  <ScaleCrop>false</ScaleCrop>
  <Company/>
  <LinksUpToDate>false</LinksUpToDate>
  <CharactersWithSpaces>17373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2026-03-19T19:18:00Z</dcterms:created>
  <dcterms:modified xsi:type="dcterms:W3CDTF">2026-03-19T19:18:00Z</dcterms:modified>
</cp:coreProperties>
</file>