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header+xml" PartName="/word/header2.xml"/>
  <Override ContentType="application/vnd.openxmlformats-officedocument.wordprocessingml.footer+xml" PartName="/word/foot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0" w:after="0" w:line="240"/>
      </w:pPr>
      <w:r>
        <w:rPr>
          <w:sz w:val="16"/>
          <w:szCs w:val="16"/>
          <w:rFonts w:ascii="Verdana" w:cs="Verdana" w:eastAsia="Verdana" w:hAnsi="Verdana"/>
        </w:rPr>
        <w:t xml:space="preserve">Kraków, dnia 27.10.2026r.</w:t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/>
      </w:pPr>
      <w:r>
        <w:rPr>
          <w:b w:val="false"/>
          <w:bCs w:val="false"/>
          <w:sz w:val="16"/>
          <w:szCs w:val="16"/>
          <w:rFonts w:ascii="Verdana" w:cs="Verdana" w:eastAsia="Verdana" w:hAnsi="Verdana"/>
        </w:rPr>
        <w:t xml:space="preserve">Szanowny Pan</w:t>
      </w:r>
    </w:p>
    <w:p>
      <w:pPr>
        <w:spacing w:after="0" w:line="240"/>
      </w:pPr>
      <w:r>
        <w:rPr>
          <w:b/>
          <w:bCs/>
          <w:sz w:val="16"/>
          <w:szCs w:val="16"/>
          <w:rFonts w:ascii="Verdana" w:cs="Verdana" w:eastAsia="Verdana" w:hAnsi="Verdana"/>
        </w:rPr>
        <w:t xml:space="preserve">Jan Przykładowy</w:t>
      </w:r>
    </w:p>
    <w:p>
      <w:pPr>
        <w:spacing w:after="0" w:line="240"/>
      </w:pPr>
      <w:r>
        <w:rPr>
          <w:b w:val="false"/>
          <w:bCs w:val="false"/>
          <w:sz w:val="16"/>
          <w:szCs w:val="16"/>
          <w:rFonts w:ascii="Verdana" w:cs="Verdana" w:eastAsia="Verdana" w:hAnsi="Verdana"/>
        </w:rPr>
        <w:t xml:space="preserve">Kierownik Budowy</w:t>
      </w:r>
    </w:p>
    <w:p>
      <w:pPr>
        <w:spacing w:after="0" w:line="240"/>
      </w:pPr>
      <w:r>
        <w:rPr>
          <w:b w:val="false"/>
          <w:bCs w:val="false"/>
          <w:sz w:val="16"/>
          <w:szCs w:val="16"/>
          <w:rFonts w:ascii="Verdana" w:cs="Verdana" w:eastAsia="Verdana" w:hAnsi="Verdana"/>
        </w:rPr>
        <w:t xml:space="preserve">tel. +48 500 000 000</w:t>
      </w:r>
    </w:p>
    <w:p>
      <w:pPr>
        <w:spacing w:after="0" w:line="240"/>
      </w:pPr>
      <w:r>
        <w:rPr>
          <w:sz w:val="16"/>
          <w:szCs w:val="16"/>
          <w:rFonts w:ascii="Verdana" w:cs="Verdana" w:eastAsia="Verdana" w:hAnsi="Verdana"/>
        </w:rPr>
        <w:t xml:space="preserve">e-mail: </w:t>
      </w:r>
      <w:r>
        <w:rPr>
          <w:u w:val="single"/>
          <w:color w:val="0000FF"/>
          <w:sz w:val="16"/>
          <w:szCs w:val="16"/>
          <w:rFonts w:ascii="Verdana" w:cs="Verdana" w:eastAsia="Verdana" w:hAnsi="Verdana"/>
        </w:rPr>
        <w:t xml:space="preserve">jan.przykladowy@example.com</w:t>
      </w: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/>
      </w:pPr>
      <w:r>
        <w:rPr>
          <w:b/>
          <w:bCs/>
          <w:u w:val="single"/>
          <w:sz w:val="16"/>
          <w:szCs w:val="16"/>
          <w:rFonts w:ascii="Verdana" w:cs="Verdana" w:eastAsia="Verdana" w:hAnsi="Verdana"/>
        </w:rPr>
        <w:t xml:space="preserve">Przykładowy Inwestor Sp. z o.o.</w:t>
      </w:r>
    </w:p>
    <w:p>
      <w:pPr>
        <w:spacing w:after="0" w:line="240"/>
      </w:pPr>
      <w:r>
        <w:rPr>
          <w:b w:val="false"/>
          <w:bCs w:val="false"/>
          <w:sz w:val="16"/>
          <w:szCs w:val="16"/>
          <w:rFonts w:ascii="Verdana" w:cs="Verdana" w:eastAsia="Verdana" w:hAnsi="Verdana"/>
        </w:rPr>
        <w:t xml:space="preserve">ul. Testowa 1</w:t>
      </w:r>
    </w:p>
    <w:p>
      <w:pPr>
        <w:spacing w:after="0" w:line="240"/>
      </w:pPr>
      <w:r>
        <w:rPr>
          <w:b w:val="false"/>
          <w:bCs w:val="false"/>
          <w:sz w:val="16"/>
          <w:szCs w:val="16"/>
          <w:rFonts w:ascii="Verdana" w:cs="Verdana" w:eastAsia="Verdana" w:hAnsi="Verdana"/>
        </w:rPr>
        <w:t xml:space="preserve">00-001 Warszawa</w:t>
      </w:r>
    </w:p>
    <w:p>
      <w:pPr>
        <w:spacing w:after="0" w:line="240"/>
      </w:pPr>
      <w:r>
        <w:rPr>
          <w:b w:val="false"/>
          <w:bCs w:val="false"/>
          <w:sz w:val="16"/>
          <w:szCs w:val="16"/>
          <w:rFonts w:ascii="Verdana" w:cs="Verdana" w:eastAsia="Verdana" w:hAnsi="Verdana"/>
        </w:rPr>
        <w:t xml:space="preserve">NIP: 000-000-00-00</w:t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/>
      </w:pPr>
      <w:r>
        <w:rPr>
          <w:b/>
          <w:bCs/>
          <w:i/>
          <w:iCs/>
          <w:u w:val="single"/>
          <w:sz w:val="16"/>
          <w:szCs w:val="16"/>
          <w:rFonts w:ascii="Verdana" w:cs="Verdana" w:eastAsia="Verdana" w:hAnsi="Verdana"/>
        </w:rPr>
        <w:t xml:space="preserve">Oferta nr PRZYKLAD/INK</w:t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/>
      </w:pPr>
      <w:r>
        <w:rPr>
          <w:sz w:val="16"/>
          <w:szCs w:val="16"/>
          <w:rFonts w:ascii="Verdana" w:cs="Verdana" w:eastAsia="Verdana" w:hAnsi="Verdana"/>
        </w:rPr>
        <w:t xml:space="preserve">Szanowny Panie,</w:t>
      </w:r>
    </w:p>
    <w:p>
      <w:pPr>
        <w:spacing w:after="0" w:line="240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przedstawiamy naszą ofertę na dostawę i montaż 23 platform służących do zależnego parkowania 46 pojazdów w pochyleniu dla inwestycji przy ul. Leśna 5, Wrocław.</w:t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tabs>
          <w:tab w:val="left" w:pos="284"/>
        </w:tabs>
        <w:spacing w:before="200" w:after="20" w:line="240"/>
        <w:ind w:left="284" w:hanging="284"/>
      </w:pPr>
      <w:r>
        <w:rPr>
          <w:b/>
          <w:bCs/>
          <w:sz w:val="16"/>
          <w:szCs w:val="16"/>
          <w:rFonts w:ascii="Verdana" w:cs="Verdana" w:eastAsia="Verdana" w:hAnsi="Verdana"/>
        </w:rPr>
        <w:t xml:space="preserve">1.</w:t>
      </w:r>
      <w:r>
        <w:tab/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Specyfikacja oferty:</w:t>
      </w:r>
    </w:p>
    <w:p>
      <w:pPr>
        <w:spacing w:after="0" w:line="240"/>
        <w:ind w:left="284"/>
        <w:jc w:val="both"/>
      </w:pPr>
      <w:r>
        <w:rPr>
          <w:b/>
          <w:bCs/>
          <w:color w:val="3366CC"/>
          <w:sz w:val="16"/>
          <w:szCs w:val="16"/>
          <w:rFonts w:ascii="Verdana" w:cs="Verdana" w:eastAsia="Verdana" w:hAnsi="Verdana"/>
        </w:rPr>
        <w:t xml:space="preserve">Pozycja 1:</w:t>
      </w:r>
      <w:r>
        <w:rPr>
          <w:color w:val="3366CC"/>
          <w:sz w:val="16"/>
          <w:szCs w:val="16"/>
          <w:rFonts w:ascii="Verdana" w:cs="Verdana" w:eastAsia="Verdana" w:hAnsi="Verdana"/>
        </w:rPr>
        <w:t xml:space="preserve"> Platformy służące do zależnego parkowania pojazdów w pochyleniu </w:t>
      </w:r>
      <w:r>
        <w:rPr>
          <w:b/>
          <w:bCs/>
          <w:color w:val="3366CC"/>
          <w:sz w:val="16"/>
          <w:szCs w:val="16"/>
          <w:rFonts w:ascii="Verdana" w:cs="Verdana" w:eastAsia="Verdana" w:hAnsi="Verdana"/>
        </w:rPr>
        <w:t xml:space="preserve">NK41</w:t>
      </w:r>
      <w:r>
        <w:rPr>
          <w:color w:val="3366CC"/>
          <w:sz w:val="16"/>
          <w:szCs w:val="16"/>
          <w:rFonts w:ascii="Verdana" w:cs="Verdana" w:eastAsia="Verdana" w:hAnsi="Verdana"/>
        </w:rPr>
      </w:r>
    </w:p>
    <w:p>
      <w:pPr>
        <w:spacing w:after="0" w:line="240"/>
        <w:ind w:left="284"/>
        <w:jc w:val="both"/>
      </w:pPr>
      <w:r>
        <w:rPr>
          <w:u w:val="single"/>
          <w:sz w:val="16"/>
          <w:szCs w:val="16"/>
          <w:rFonts w:ascii="Verdana" w:cs="Verdana" w:eastAsia="Verdana" w:hAnsi="Verdana"/>
        </w:rPr>
        <w:t xml:space="preserve">Dane techniczne:</w:t>
      </w:r>
    </w:p>
    <w:p>
      <w:pPr>
        <w:spacing w:after="0" w:line="240"/>
        <w:ind w:left="284"/>
        <w:jc w:val="both"/>
      </w:pPr>
      <w:r>
        <w:rPr>
          <w:i/>
          <w:iCs/>
          <w:sz w:val="16"/>
          <w:szCs w:val="16"/>
          <w:rFonts w:ascii="Verdana" w:cs="Verdana" w:eastAsia="Verdana" w:hAnsi="Verdana"/>
        </w:rPr>
        <w:t xml:space="preserve">Zagłębienie:</w:t>
      </w:r>
      <w:r>
        <w:rPr>
          <w:sz w:val="16"/>
          <w:szCs w:val="16"/>
          <w:rFonts w:ascii="Verdana" w:cs="Verdana" w:eastAsia="Verdana" w:hAnsi="Verdana"/>
        </w:rPr>
        <w:t xml:space="preserve"> brak;</w:t>
      </w:r>
    </w:p>
    <w:p>
      <w:pPr>
        <w:spacing w:after="0" w:line="240"/>
        <w:ind w:left="284"/>
        <w:jc w:val="both"/>
      </w:pPr>
      <w:r>
        <w:rPr>
          <w:i/>
          <w:iCs/>
          <w:sz w:val="16"/>
          <w:szCs w:val="16"/>
          <w:rFonts w:ascii="Verdana" w:cs="Verdana" w:eastAsia="Verdana" w:hAnsi="Verdana"/>
        </w:rPr>
        <w:t xml:space="preserve">Wysokość prześwitu:</w:t>
      </w:r>
      <w:r>
        <w:rPr>
          <w:sz w:val="16"/>
          <w:szCs w:val="16"/>
          <w:rFonts w:ascii="Verdana" w:cs="Verdana" w:eastAsia="Verdana" w:hAnsi="Verdana"/>
        </w:rPr>
        <w:t xml:space="preserve">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280</w:t>
      </w:r>
      <w:r>
        <w:rPr>
          <w:sz w:val="16"/>
          <w:szCs w:val="16"/>
          <w:rFonts w:ascii="Verdana" w:cs="Verdana" w:eastAsia="Verdana" w:hAnsi="Verdana"/>
        </w:rPr>
        <w:t xml:space="preserve">cm;</w:t>
      </w:r>
    </w:p>
    <w:p>
      <w:pPr>
        <w:spacing w:after="0" w:line="240"/>
        <w:ind w:left="284"/>
        <w:jc w:val="both"/>
      </w:pPr>
      <w:r>
        <w:rPr>
          <w:i/>
          <w:iCs/>
          <w:sz w:val="16"/>
          <w:szCs w:val="16"/>
          <w:rFonts w:ascii="Verdana" w:cs="Verdana" w:eastAsia="Verdana" w:hAnsi="Verdana"/>
        </w:rPr>
        <w:t xml:space="preserve">Wysokość parkowanych pojazdów*:</w:t>
      </w:r>
      <w:r>
        <w:rPr>
          <w:sz w:val="16"/>
          <w:szCs w:val="16"/>
          <w:rFonts w:ascii="Verdana" w:cs="Verdana" w:eastAsia="Verdana" w:hAnsi="Verdana"/>
        </w:rPr>
        <w:t xml:space="preserve">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▲-150</w:t>
      </w:r>
      <w:r>
        <w:rPr>
          <w:sz w:val="16"/>
          <w:szCs w:val="16"/>
          <w:rFonts w:ascii="Verdana" w:cs="Verdana" w:eastAsia="Verdana" w:hAnsi="Verdana"/>
        </w:rPr>
        <w:t xml:space="preserve">cm,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▼-150</w:t>
      </w:r>
      <w:r>
        <w:rPr>
          <w:sz w:val="16"/>
          <w:szCs w:val="16"/>
          <w:rFonts w:ascii="Verdana" w:cs="Verdana" w:eastAsia="Verdana" w:hAnsi="Verdana"/>
        </w:rPr>
        <w:t xml:space="preserve">cm;</w:t>
      </w:r>
    </w:p>
    <w:p>
      <w:pPr>
        <w:spacing w:after="0" w:line="240"/>
        <w:ind w:left="284"/>
        <w:jc w:val="both"/>
      </w:pPr>
      <w:r>
        <w:rPr>
          <w:i/>
          <w:iCs/>
          <w:sz w:val="16"/>
          <w:szCs w:val="16"/>
          <w:rFonts w:ascii="Verdana" w:cs="Verdana" w:eastAsia="Verdana" w:hAnsi="Verdana"/>
        </w:rPr>
        <w:t xml:space="preserve">Długość parkowanych pojazdów:</w:t>
      </w:r>
      <w:r>
        <w:rPr>
          <w:sz w:val="16"/>
          <w:szCs w:val="16"/>
          <w:rFonts w:ascii="Verdana" w:cs="Verdana" w:eastAsia="Verdana" w:hAnsi="Verdana"/>
        </w:rPr>
        <w:t xml:space="preserve">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▲-400</w:t>
      </w:r>
      <w:r>
        <w:rPr>
          <w:sz w:val="16"/>
          <w:szCs w:val="16"/>
          <w:rFonts w:ascii="Verdana" w:cs="Verdana" w:eastAsia="Verdana" w:hAnsi="Verdana"/>
        </w:rPr>
        <w:t xml:space="preserve">cm,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▼-400</w:t>
      </w:r>
      <w:r>
        <w:rPr>
          <w:sz w:val="16"/>
          <w:szCs w:val="16"/>
          <w:rFonts w:ascii="Verdana" w:cs="Verdana" w:eastAsia="Verdana" w:hAnsi="Verdana"/>
        </w:rPr>
        <w:t xml:space="preserve">cm;</w:t>
      </w:r>
    </w:p>
    <w:p>
      <w:pPr>
        <w:spacing w:after="0" w:line="240"/>
        <w:ind w:left="284"/>
        <w:jc w:val="both"/>
      </w:pPr>
      <w:r>
        <w:rPr>
          <w:i/>
          <w:iCs/>
          <w:sz w:val="16"/>
          <w:szCs w:val="16"/>
          <w:rFonts w:ascii="Verdana" w:cs="Verdana" w:eastAsia="Verdana" w:hAnsi="Verdana"/>
        </w:rPr>
        <w:t xml:space="preserve">*parametry pojazdów dopuszczonych do wjazdu w obręb urządzeń są zależne od wysokości prześwitu dostępnego na danym miejscu w garażu.</w:t>
      </w:r>
    </w:p>
    <w:p>
      <w:pPr>
        <w:spacing w:after="0" w:line="240"/>
        <w:ind w:left="284"/>
        <w:jc w:val="both"/>
      </w:pPr>
      <w:r>
        <w:rPr>
          <w:i/>
          <w:iCs/>
          <w:sz w:val="16"/>
          <w:szCs w:val="16"/>
          <w:rFonts w:ascii="Verdana" w:cs="Verdana" w:eastAsia="Verdana" w:hAnsi="Verdana"/>
        </w:rPr>
        <w:t xml:space="preserve">Obciążenie platformy:</w:t>
      </w:r>
      <w:r>
        <w:rPr>
          <w:sz w:val="16"/>
          <w:szCs w:val="16"/>
          <w:rFonts w:ascii="Verdana" w:cs="Verdana" w:eastAsia="Verdana" w:hAnsi="Verdana"/>
        </w:rPr>
        <w:t xml:space="preserve">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2.000</w:t>
      </w:r>
      <w:r>
        <w:rPr>
          <w:sz w:val="16"/>
          <w:szCs w:val="16"/>
          <w:rFonts w:ascii="Verdana" w:cs="Verdana" w:eastAsia="Verdana" w:hAnsi="Verdana"/>
        </w:rPr>
        <w:t xml:space="preserve">kg/miejsce;</w:t>
      </w:r>
    </w:p>
    <w:p>
      <w:pPr>
        <w:spacing w:after="0" w:line="240"/>
        <w:ind w:left="284"/>
        <w:jc w:val="both"/>
      </w:pPr>
      <w:r>
        <w:rPr>
          <w:i/>
          <w:iCs/>
          <w:sz w:val="16"/>
          <w:szCs w:val="16"/>
          <w:rFonts w:ascii="Verdana" w:cs="Verdana" w:eastAsia="Verdana" w:hAnsi="Verdana"/>
        </w:rPr>
        <w:t xml:space="preserve">Zabezpieczenie antykorozyjne:</w:t>
      </w:r>
      <w:r>
        <w:rPr>
          <w:sz w:val="16"/>
          <w:szCs w:val="16"/>
          <w:rFonts w:ascii="Verdana" w:cs="Verdana" w:eastAsia="Verdana" w:hAnsi="Verdana"/>
        </w:rPr>
        <w:t xml:space="preserve"> platforma ocynkowana ogniowo, słupy i siłowniki malowane.</w:t>
      </w:r>
    </w:p>
    <w:p>
      <w:pPr>
        <w:pStyle w:val="ListParagraph"/>
        <w:numPr>
          <w:ilvl w:val="0"/>
          <w:numId w:val="2"/>
        </w:numPr>
        <w:spacing w:before="40" w:after="0" w:line="240"/>
      </w:pPr>
      <w:r>
        <w:rPr>
          <w:b/>
          <w:bCs/>
          <w:sz w:val="16"/>
          <w:szCs w:val="16"/>
          <w:rFonts w:ascii="Verdana" w:cs="Verdana" w:eastAsia="Verdana" w:hAnsi="Verdana"/>
        </w:rPr>
        <w:t xml:space="preserve">23 szt. – 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NK41</w:t>
      </w:r>
      <w:r>
        <w:rPr>
          <w:sz w:val="16"/>
          <w:szCs w:val="16"/>
          <w:rFonts w:ascii="Verdana" w:cs="Verdana" w:eastAsia="Verdana" w:hAnsi="Verdana"/>
        </w:rPr>
        <w:t xml:space="preserve"> szer. użytkowa miejsca postojowego 250cm, szer. zewnętrzna urządzenia 280cm;</w:t>
      </w:r>
    </w:p>
    <w:p>
      <w:pPr>
        <w:pStyle w:val="ListParagraph"/>
        <w:numPr>
          <w:ilvl w:val="0"/>
          <w:numId w:val="2"/>
        </w:numPr>
        <w:spacing w:before="40" w:after="0" w:line="240"/>
      </w:pPr>
      <w:r>
        <w:rPr>
          <w:b/>
          <w:bCs/>
          <w:sz w:val="16"/>
          <w:szCs w:val="16"/>
          <w:rFonts w:ascii="Verdana" w:cs="Verdana" w:eastAsia="Verdana" w:hAnsi="Verdana"/>
        </w:rPr>
        <w:t xml:space="preserve">6 szt. –  </w:t>
      </w:r>
      <w:r>
        <w:rPr>
          <w:sz w:val="16"/>
          <w:szCs w:val="16"/>
          <w:rFonts w:ascii="Verdana" w:cs="Verdana" w:eastAsia="Verdana" w:hAnsi="Verdana"/>
        </w:rPr>
        <w:t xml:space="preserve">agregat</w:t>
      </w:r>
      <w:r>
        <w:rPr>
          <w:sz w:val="16"/>
          <w:szCs w:val="16"/>
          <w:rFonts w:ascii="Verdana" w:cs="Verdana" w:eastAsia="Verdana" w:hAnsi="Verdana"/>
        </w:rPr>
        <w:t xml:space="preserve"> hydrauliczny 400V, 50Hz, 3kW.</w:t>
      </w:r>
    </w:p>
    <w:p>
      <w:pPr>
        <w:tabs>
          <w:tab w:val="left" w:pos="284"/>
          <w:tab w:val="right" w:pos="9638"/>
        </w:tabs>
        <w:spacing w:before="200" w:after="20" w:line="240"/>
        <w:ind w:left="284" w:hanging="284"/>
      </w:pPr>
      <w:r>
        <w:rPr>
          <w:b/>
          <w:bCs/>
          <w:sz w:val="16"/>
          <w:szCs w:val="16"/>
          <w:rFonts w:ascii="Verdana" w:cs="Verdana" w:eastAsia="Verdana" w:hAnsi="Verdana"/>
        </w:rPr>
        <w:t xml:space="preserve">2.</w:t>
      </w:r>
      <w:r>
        <w:tab/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Wartość zamówienia netto.</w:t>
      </w:r>
      <w:r>
        <w:tab/>
      </w:r>
      <w:r>
        <w:rPr>
          <w:b/>
          <w:bCs/>
          <w:color w:val="3366CC"/>
          <w:sz w:val="16"/>
          <w:szCs w:val="16"/>
          <w:rFonts w:ascii="Verdana" w:cs="Verdana" w:eastAsia="Verdana" w:hAnsi="Verdana"/>
        </w:rPr>
        <w:t xml:space="preserve">Pozycja 1:</w:t>
      </w:r>
      <w:r>
        <w:rPr>
          <w:sz w:val="16"/>
          <w:szCs w:val="16"/>
          <w:rFonts w:ascii="Verdana" w:cs="Verdana" w:eastAsia="Verdana" w:hAnsi="Verdana"/>
        </w:rPr>
        <w:t xml:space="preserve"> </w:t>
      </w:r>
      <w:r>
        <w:rPr>
          <w:b/>
          <w:bCs/>
          <w:u w:val="single"/>
          <w:sz w:val="16"/>
          <w:szCs w:val="16"/>
          <w:rFonts w:ascii="Verdana" w:cs="Verdana" w:eastAsia="Verdana" w:hAnsi="Verdana"/>
        </w:rPr>
        <w:t xml:space="preserve">501.900,00 zł</w:t>
      </w:r>
    </w:p>
    <w:p>
      <w:pPr>
        <w:tabs>
          <w:tab w:val="right" w:pos="9638"/>
        </w:tabs>
        <w:spacing w:after="0" w:line="240"/>
        <w:ind w:left="284"/>
      </w:pPr>
      <w:r>
        <w:rPr>
          <w:sz w:val="16"/>
          <w:szCs w:val="16"/>
          <w:rFonts w:ascii="Verdana" w:cs="Verdana" w:eastAsia="Verdana" w:hAnsi="Verdana"/>
        </w:rPr>
        <w:t xml:space="preserve">Warunki płatności:</w:t>
      </w:r>
    </w:p>
    <w:p>
      <w:pPr>
        <w:tabs>
          <w:tab w:val="right" w:pos="9638"/>
        </w:tabs>
        <w:spacing w:after="0" w:line="240"/>
        <w:ind w:left="284"/>
      </w:pPr>
      <w:r>
        <w:rPr>
          <w:sz w:val="16"/>
          <w:szCs w:val="16"/>
          <w:rFonts w:ascii="Verdana" w:cs="Verdana" w:eastAsia="Verdana" w:hAnsi="Verdana"/>
        </w:rPr>
        <w:t xml:space="preserve">30% zaliczka płatna na 22 tygodnie przed dostawą,</w:t>
      </w:r>
    </w:p>
    <w:p>
      <w:pPr>
        <w:tabs>
          <w:tab w:val="right" w:pos="9638"/>
        </w:tabs>
        <w:spacing w:after="0" w:line="240"/>
        <w:ind w:left="284"/>
      </w:pPr>
      <w:r>
        <w:rPr>
          <w:sz w:val="16"/>
          <w:szCs w:val="16"/>
          <w:rFonts w:ascii="Verdana" w:cs="Verdana" w:eastAsia="Verdana" w:hAnsi="Verdana"/>
        </w:rPr>
        <w:t xml:space="preserve">30% płatność na 7 dni przed dostawą,</w:t>
      </w:r>
    </w:p>
    <w:p>
      <w:pPr>
        <w:tabs>
          <w:tab w:val="right" w:pos="9638"/>
        </w:tabs>
        <w:spacing w:after="0" w:line="240"/>
        <w:ind w:left="284"/>
      </w:pPr>
      <w:r>
        <w:rPr>
          <w:sz w:val="16"/>
          <w:szCs w:val="16"/>
          <w:rFonts w:ascii="Verdana" w:cs="Verdana" w:eastAsia="Verdana" w:hAnsi="Verdana"/>
        </w:rPr>
        <w:t xml:space="preserve">90% płatność do 21 dni po dostawie,</w:t>
      </w:r>
    </w:p>
    <w:p>
      <w:pPr>
        <w:tabs>
          <w:tab w:val="right" w:pos="9638"/>
        </w:tabs>
        <w:spacing w:after="0" w:line="240"/>
        <w:ind w:left="284"/>
      </w:pPr>
      <w:r>
        <w:rPr>
          <w:sz w:val="16"/>
          <w:szCs w:val="16"/>
          <w:rFonts w:ascii="Verdana" w:cs="Verdana" w:eastAsia="Verdana" w:hAnsi="Verdana"/>
        </w:rPr>
        <w:t xml:space="preserve">100% płatność do 21 dni po zakończeniu montażu i pierwszym badaniu UDT.</w:t>
      </w:r>
    </w:p>
    <w:p>
      <w:pPr>
        <w:tabs>
          <w:tab w:val="right" w:pos="9638"/>
        </w:tabs>
        <w:spacing w:after="0" w:line="240"/>
        <w:ind w:left="284"/>
      </w:pPr>
      <w:r>
        <w:rPr>
          <w:sz w:val="16"/>
          <w:szCs w:val="16"/>
          <w:rFonts w:ascii="Verdana" w:cs="Verdana" w:eastAsia="Verdana" w:hAnsi="Verdana"/>
        </w:rPr>
        <w:t xml:space="preserve">Oferta ważna jest 2 miesiące.</w:t>
      </w:r>
    </w:p>
    <w:p>
      <w:pPr>
        <w:tabs>
          <w:tab w:val="left" w:pos="284"/>
        </w:tabs>
        <w:spacing w:before="200" w:after="20" w:line="240"/>
        <w:ind w:left="284" w:hanging="284"/>
      </w:pPr>
      <w:r>
        <w:rPr>
          <w:b/>
          <w:bCs/>
          <w:sz w:val="16"/>
          <w:szCs w:val="16"/>
          <w:rFonts w:ascii="Verdana" w:cs="Verdana" w:eastAsia="Verdana" w:hAnsi="Verdana"/>
        </w:rPr>
        <w:t xml:space="preserve">3.</w:t>
      </w:r>
      <w:r>
        <w:tab/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Dostawa i montaż.</w:t>
      </w:r>
    </w:p>
    <w:p>
      <w:pPr>
        <w:spacing w:after="0" w:line="240"/>
        <w:ind w:left="284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Pierwsza dostawa nastąpi nie wcześniej niż po ok. 22 tygodniach od zawarcia umowy, w zależności od aktualnie realizowanych zleceń.</w:t>
      </w:r>
    </w:p>
    <w:p>
      <w:pPr>
        <w:spacing w:after="0" w:line="240"/>
        <w:ind w:left="284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Przewidywany czas montażu 4-5 tygodni od dnia dostawy, w zależności od warunków panujących na budowie.</w:t>
      </w:r>
    </w:p>
    <w:p>
      <w:pPr>
        <w:tabs>
          <w:tab w:val="left" w:pos="284"/>
        </w:tabs>
        <w:spacing w:before="200" w:after="20" w:line="240"/>
        <w:ind w:left="284" w:hanging="284"/>
      </w:pPr>
      <w:r>
        <w:rPr>
          <w:b/>
          <w:bCs/>
          <w:sz w:val="16"/>
          <w:szCs w:val="16"/>
          <w:rFonts w:ascii="Verdana" w:cs="Verdana" w:eastAsia="Verdana" w:hAnsi="Verdana"/>
        </w:rPr>
        <w:t xml:space="preserve">4.</w:t>
      </w:r>
      <w:r>
        <w:tab/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Zakres oferty.</w:t>
      </w:r>
    </w:p>
    <w:p>
      <w:pPr>
        <w:spacing w:before="0" w:after="0" w:line="240"/>
        <w:ind w:left="284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Dostawa na plac budowy urządzeń parkingowych, montaż, rozruch i doprowadzenie do badań ruchowych poprzedzających wydanie Decyzji o Dopuszczeniu do Użytkowania wraz z kompletem dokumentów określonych przepisami UDT.</w:t>
      </w:r>
    </w:p>
    <w:p>
      <w:pPr>
        <w:spacing w:before="120" w:after="0" w:line="240"/>
        <w:ind w:left="284"/>
        <w:jc w:val="both"/>
      </w:pPr>
      <w:r>
        <w:rPr>
          <w:u w:val="single"/>
          <w:sz w:val="16"/>
          <w:szCs w:val="16"/>
          <w:rFonts w:ascii="Verdana" w:cs="Verdana" w:eastAsia="Verdana" w:hAnsi="Verdana"/>
        </w:rPr>
        <w:t xml:space="preserve">Poza ofertą pozostają:</w:t>
      </w:r>
      <w:r>
        <w:rPr>
          <w:sz w:val="16"/>
          <w:szCs w:val="16"/>
          <w:rFonts w:ascii="Verdana" w:cs="Verdana" w:eastAsia="Verdana" w:hAnsi="Verdana"/>
        </w:rPr>
        <w:t xml:space="preserve"> koszty przeprowadzenia badania przez UDT, wszelkie roboty budowlano-wykończeniowe obiektu, wykonanie barier stałych zabezpieczających dostęp pod platformy z tyłu lub z boku w przypadku braku ścian (jeśli konieczne / zgodnie z naszymi wytycznymi), wykonanie przepustów przez ściany działowe o średnicy fi 150mm dla przeprowadzenia przewodów elektrycznych i hydraulicznych (jeśli konieczne / zgodnie z naszymi wytycznymi), napraw tynkarsko-malarskich po montażu urządzeń sterowniczych oraz mocowań konstrukcyjnych, wyposażenia w instalację przeciw-pożarową, wentylacyjną, elektryczną obiektu, sygnalizacyjną, oznaczeń pionowych i poziomych organizacji ruchu na terenie parkingu.</w:t>
      </w:r>
    </w:p>
    <w:p>
      <w:pPr>
        <w:tabs>
          <w:tab w:val="left" w:pos="284"/>
        </w:tabs>
        <w:spacing w:before="200" w:after="20" w:line="240"/>
        <w:ind w:left="284" w:hanging="284"/>
      </w:pPr>
      <w:r>
        <w:rPr>
          <w:b/>
          <w:bCs/>
          <w:sz w:val="16"/>
          <w:szCs w:val="16"/>
          <w:rFonts w:ascii="Verdana" w:cs="Verdana" w:eastAsia="Verdana" w:hAnsi="Verdana"/>
        </w:rPr>
        <w:t xml:space="preserve">5.</w:t>
      </w:r>
      <w:r>
        <w:tab/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Warunki montażu.</w:t>
      </w:r>
    </w:p>
    <w:p>
      <w:pPr>
        <w:spacing w:before="80" w:after="0" w:line="240"/>
        <w:ind w:left="284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Wszelkie elementy konstrukcyjne garażu powinny być wykonane dokładnie i zgodnie z dokumentacją projektową oraz naszymi wytycznymi. Powierzchnie podłoży wykonane z betonu C20/25, pozostające w stanie suchym i nie pylące. Wszelkie roboty budowlane, instalacyjne i wykończeniowe oraz sprzątanie należy zakończyć przed przystąpieniem do montażu urządzeń parkingowych. Jeśli to konieczne należy wykonać przepusty przez ścianki oddzielające platformy parkingowe zgodnie z wytycznymi dostawcy urządzeń. Zamawiający powinien umożliwić dojazd samochodem ciężarowym o długości 18m do miejsca składowania, rozładować oraz przetransportować elementy urządzeń na miejsce montażu oraz zapewnić dostęp do energii elektrycznej w obrębie montażu.</w:t>
      </w:r>
    </w:p>
    <w:p>
      <w:pPr>
        <w:spacing w:before="80" w:after="0" w:line="240"/>
        <w:ind w:left="284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Ponadto, Zamawiający zobowiązany jest w zakresie zasilania elektrycznego urządzeń parkingowych do wykonania:</w:t>
      </w:r>
    </w:p>
    <w:p>
      <w:pPr>
        <w:tabs>
          <w:tab w:val="left" w:pos="710"/>
        </w:tabs>
        <w:spacing w:after="0" w:line="240"/>
        <w:ind w:left="710" w:hanging="426"/>
      </w:pPr>
      <w:r>
        <w:rPr>
          <w:sz w:val="16"/>
          <w:szCs w:val="16"/>
          <w:rFonts w:ascii="Verdana" w:cs="Verdana" w:eastAsia="Verdana" w:hAnsi="Verdana"/>
        </w:rPr>
        <w:t xml:space="preserve">1.</w:t>
      </w:r>
      <w:r>
        <w:tab/>
      </w:r>
      <w:r>
        <w:rPr>
          <w:sz w:val="16"/>
          <w:szCs w:val="16"/>
          <w:rFonts w:ascii="Verdana" w:cs="Verdana" w:eastAsia="Verdana" w:hAnsi="Verdana"/>
        </w:rPr>
        <w:t xml:space="preserve">Zabezpieczenia głównego zwłocznego 3x16A dla każdego agregatu 3kW, 400V, 50Hz;</w:t>
      </w:r>
    </w:p>
    <w:p>
      <w:pPr>
        <w:tabs>
          <w:tab w:val="left" w:pos="710"/>
        </w:tabs>
        <w:spacing w:after="0" w:line="240"/>
        <w:ind w:left="710" w:hanging="426"/>
      </w:pPr>
      <w:r>
        <w:rPr>
          <w:sz w:val="16"/>
          <w:szCs w:val="16"/>
          <w:rFonts w:ascii="Verdana" w:cs="Verdana" w:eastAsia="Verdana" w:hAnsi="Verdana"/>
        </w:rPr>
        <w:t xml:space="preserve">2.</w:t>
      </w:r>
      <w:r>
        <w:tab/>
      </w:r>
      <w:r>
        <w:rPr>
          <w:sz w:val="16"/>
          <w:szCs w:val="16"/>
          <w:rFonts w:ascii="Verdana" w:cs="Verdana" w:eastAsia="Verdana" w:hAnsi="Verdana"/>
        </w:rPr>
        <w:t xml:space="preserve">Zasilania do rozłącznika głównego przewodem 3Ph+N+PE 5x2.5mm2;</w:t>
      </w:r>
    </w:p>
    <w:p>
      <w:pPr>
        <w:tabs>
          <w:tab w:val="left" w:pos="710"/>
        </w:tabs>
        <w:spacing w:after="0" w:line="240"/>
        <w:ind w:left="710" w:hanging="426"/>
      </w:pPr>
      <w:r>
        <w:rPr>
          <w:sz w:val="16"/>
          <w:szCs w:val="16"/>
          <w:rFonts w:ascii="Verdana" w:cs="Verdana" w:eastAsia="Verdana" w:hAnsi="Verdana"/>
        </w:rPr>
        <w:t xml:space="preserve">3.</w:t>
      </w:r>
      <w:r>
        <w:tab/>
      </w:r>
      <w:r>
        <w:rPr>
          <w:sz w:val="16"/>
          <w:szCs w:val="16"/>
          <w:rFonts w:ascii="Verdana" w:cs="Verdana" w:eastAsia="Verdana" w:hAnsi="Verdana"/>
        </w:rPr>
        <w:t xml:space="preserve">Rozłącznika głównego blokowanego 16A 3Ph+1N – w miejscu ustalonych z dostawcą platform;</w:t>
      </w:r>
    </w:p>
    <w:p>
      <w:pPr>
        <w:tabs>
          <w:tab w:val="left" w:pos="710"/>
        </w:tabs>
        <w:spacing w:after="0" w:line="240"/>
        <w:ind w:left="710" w:hanging="426"/>
      </w:pPr>
      <w:r>
        <w:rPr>
          <w:sz w:val="16"/>
          <w:szCs w:val="16"/>
          <w:rFonts w:ascii="Verdana" w:cs="Verdana" w:eastAsia="Verdana" w:hAnsi="Verdana"/>
        </w:rPr>
        <w:t xml:space="preserve">4.</w:t>
      </w:r>
      <w:r>
        <w:tab/>
      </w:r>
      <w:r>
        <w:rPr>
          <w:sz w:val="16"/>
          <w:szCs w:val="16"/>
          <w:rFonts w:ascii="Verdana" w:cs="Verdana" w:eastAsia="Verdana" w:hAnsi="Verdana"/>
        </w:rPr>
        <w:t xml:space="preserve">Doprowadzenia przewodu 5x2,5 mm2 od rozłącznika do skrzyni sterowniczej;</w:t>
      </w:r>
    </w:p>
    <w:p>
      <w:pPr>
        <w:tabs>
          <w:tab w:val="left" w:pos="710"/>
        </w:tabs>
        <w:spacing w:after="0" w:line="240"/>
        <w:ind w:left="710" w:hanging="426"/>
      </w:pPr>
      <w:r>
        <w:rPr>
          <w:sz w:val="16"/>
          <w:szCs w:val="16"/>
          <w:rFonts w:ascii="Verdana" w:cs="Verdana" w:eastAsia="Verdana" w:hAnsi="Verdana"/>
        </w:rPr>
        <w:t xml:space="preserve">5.</w:t>
      </w:r>
      <w:r>
        <w:tab/>
      </w:r>
      <w:r>
        <w:rPr>
          <w:sz w:val="16"/>
          <w:szCs w:val="16"/>
          <w:rFonts w:ascii="Verdana" w:cs="Verdana" w:eastAsia="Verdana" w:hAnsi="Verdana"/>
        </w:rPr>
        <w:t xml:space="preserve">Doprowadzenia instalacji uziemiającej do każdego prawego/lewego słupa urządzenia.</w:t>
      </w:r>
    </w:p>
    <w:p>
      <w:pPr>
        <w:tabs>
          <w:tab w:val="left" w:pos="284"/>
        </w:tabs>
        <w:spacing w:before="200" w:after="20" w:line="240"/>
        <w:ind w:left="284" w:hanging="284"/>
      </w:pPr>
      <w:r>
        <w:rPr>
          <w:b/>
          <w:bCs/>
          <w:sz w:val="16"/>
          <w:szCs w:val="16"/>
          <w:rFonts w:ascii="Verdana" w:cs="Verdana" w:eastAsia="Verdana" w:hAnsi="Verdana"/>
        </w:rPr>
        <w:t xml:space="preserve">6.</w:t>
      </w:r>
      <w:r>
        <w:tab/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Gwarancja.</w:t>
      </w:r>
    </w:p>
    <w:p>
      <w:pPr>
        <w:spacing w:after="0" w:line="240"/>
        <w:ind w:left="284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Producent udziela 60 miesięcznej gwarancji jakości na sprawne działanie urządzeń pod warunkiem podpisania z dostawcą umowy konserwacyjno-serwisowej umożliwiającej nam stałą opiekę oraz nadzór nad stanem technicznym platform. W ramach umowy serwisowej dokonywane są 2 przeglądy serwisowe w ciągu roku.</w:t>
      </w:r>
    </w:p>
    <w:p>
      <w:pPr>
        <w:spacing w:after="0" w:line="240"/>
        <w:ind w:left="284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Gwarancja nie obejmuje zużycia części eksploatacyjnych, uszkodzeń wynikających z eksploatacji niezgodnej z instrukcją użytkowania, agresywnego środowiska, zbyt dużej wilgotności, uszkodzeń powstałych w wyniku zdarzeń losowych (np. pożar, zalanie). Po upływie okresu gwarancji świadczymy serwis pogwarancyjny.</w:t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/>
        <w:ind w:left="284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Wyrażamy przekonanie iż przedstawiona oferta zyska Państwa aprobatę i przyczyni się do dalszej owocnej współpracy.</w:t>
      </w:r>
    </w:p>
    <w:p>
      <w:pPr>
        <w:spacing w:after="0" w:line="240"/>
        <w:ind w:left="568"/>
        <w:jc w:val="both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/>
        <w:ind w:left="568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Z poważaniem,</w:t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/>
        <w:ind w:left="567"/>
        <w:jc w:val="left"/>
      </w:pPr>
      <w:r>
        <w:rPr>
          <w:sz w:val="16"/>
          <w:szCs w:val="16"/>
          <w:rFonts w:ascii="Verdana" w:cs="Verdana" w:eastAsia="Verdana" w:hAnsi="Verdana"/>
        </w:rPr>
        <w:t xml:space="preserve">arch. Iwo Nowina Konopka</w:t>
      </w:r>
    </w:p>
    <w:p>
      <w:pPr>
        <w:spacing w:after="0" w:line="240"/>
        <w:ind w:left="567"/>
        <w:jc w:val="left"/>
      </w:pPr>
      <w:r>
        <w:rPr>
          <w:sz w:val="16"/>
          <w:szCs w:val="16"/>
          <w:rFonts w:ascii="Verdana" w:cs="Verdana" w:eastAsia="Verdana" w:hAnsi="Verdana"/>
        </w:rPr>
        <w:t xml:space="preserve">Prezes Zarządu</w:t>
      </w:r>
    </w:p>
    <w:sectPr>
      <w:headerReference w:type="default" r:id="rId6"/>
      <w:headerReference w:type="first" r:id="rId7"/>
      <w:footerReference w:type="default" r:id="rId8"/>
      <w:footerReference w:type="first" r:id="rId9"/>
      <w:pgSz w:w="11906" w:h="16838" w:orient="portrait"/>
      <w:pgMar w:top="1418" w:right="1134" w:bottom="1418" w:left="1134" w:header="425" w:footer="425" w:gutter="0"/>
      <w:pgNumType/>
      <w:titlePg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after="120" w:line="240"/>
      <w:jc w:val="both"/>
    </w:pPr>
    <w:r>
      <w:rPr>
        <w:color w:val="444444"/>
        <w:sz w:val="12"/>
        <w:szCs w:val="12"/>
        <w:rFonts w:ascii="Verdana" w:cs="Verdana" w:eastAsia="Verdana" w:hAnsi="Verdana"/>
      </w:rPr>
      <w:t xml:space="preserve">Klauzula poufności. Klient zobowiązuje się do zachowania najwyższej poufności względem zawartości i przedmiotu niniejszej oferty i załączonej dokumentacji. Zobowiązuje się również do nie rozpowszechniania jej treści ani do nie używania jej w celach innych niż ocena tej oferty.</w:t>
    </w:r>
  </w:p>
  <w:p>
    <w:pPr>
      <w:pBdr>
        <w:top w:val="single" w:color="BFBFBF" w:sz="4" w:space="4"/>
      </w:pBdr>
      <w:spacing w:after="0" w:line="240"/>
      <w:jc w:val="center"/>
    </w:pPr>
    <w:r>
      <w:rPr>
        <w:sz w:val="20"/>
        <w:szCs w:val="20"/>
        <w:rFonts w:ascii="Century Gothic" w:cs="Century Gothic" w:eastAsia="Century Gothic" w:hAnsi="Century Gothic"/>
      </w:rPr>
      <w:t xml:space="preserve">PSP NowinaKonopka Technologies Sp. z o.o. S.K.</w:t>
    </w:r>
  </w:p>
  <w:p>
    <w:pPr>
      <w:spacing w:after="0" w:line="240"/>
      <w:jc w:val="center"/>
    </w:pPr>
    <w:r>
      <w:rPr>
        <w:sz w:val="20"/>
        <w:szCs w:val="20"/>
        <w:rFonts w:ascii="Century Gothic" w:cs="Century Gothic" w:eastAsia="Century Gothic" w:hAnsi="Century Gothic"/>
      </w:rPr>
      <w:t xml:space="preserve">31-123 Kraków, ul. Krupnicza 6, NIP: PL-676-248-01-77</w:t>
    </w:r>
  </w:p>
  <w:p>
    <w:pPr>
      <w:spacing w:after="0" w:line="240"/>
      <w:jc w:val="center"/>
    </w:pPr>
    <w:r>
      <w:rPr>
        <w:u w:val="single"/>
        <w:color w:val="0000FF"/>
        <w:sz w:val="16"/>
        <w:szCs w:val="16"/>
        <w:rFonts w:ascii="Century Gothic" w:cs="Century Gothic" w:eastAsia="Century Gothic" w:hAnsi="Century Gothic"/>
      </w:rPr>
      <w:t xml:space="preserve">biuro@nowinakonopka.com</w:t>
    </w:r>
    <w:r>
      <w:rPr>
        <w:color w:val="000000"/>
        <w:sz w:val="18"/>
        <w:szCs w:val="18"/>
        <w:rFonts w:ascii="Century Gothic" w:cs="Century Gothic" w:eastAsia="Century Gothic" w:hAnsi="Century Gothic"/>
      </w:rPr>
      <w:t xml:space="preserve">    </w:t>
    </w:r>
    <w:r>
      <w:rPr>
        <w:u w:val="single"/>
        <w:color w:val="0000FF"/>
        <w:sz w:val="16"/>
        <w:szCs w:val="16"/>
        <w:rFonts w:ascii="Century Gothic" w:cs="Century Gothic" w:eastAsia="Century Gothic" w:hAnsi="Century Gothic"/>
      </w:rPr>
      <w:t xml:space="preserve">http://www.nowinakonopka.com</w:t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BFBFBF" w:sz="4" w:space="4"/>
      </w:pBdr>
      <w:spacing w:after="0" w:line="240"/>
      <w:jc w:val="center"/>
    </w:pPr>
    <w:r>
      <w:rPr>
        <w:sz w:val="20"/>
        <w:szCs w:val="20"/>
        <w:rFonts w:ascii="Century Gothic" w:cs="Century Gothic" w:eastAsia="Century Gothic" w:hAnsi="Century Gothic"/>
      </w:rPr>
      <w:t xml:space="preserve">PSP NowinaKonopka Technologies Sp. z o.o. S.K.</w:t>
    </w:r>
  </w:p>
  <w:p>
    <w:pPr>
      <w:spacing w:after="0" w:line="240"/>
      <w:jc w:val="center"/>
    </w:pPr>
    <w:r>
      <w:rPr>
        <w:sz w:val="20"/>
        <w:szCs w:val="20"/>
        <w:rFonts w:ascii="Century Gothic" w:cs="Century Gothic" w:eastAsia="Century Gothic" w:hAnsi="Century Gothic"/>
      </w:rPr>
      <w:t xml:space="preserve">31-123 Kraków, ul. Krupnicza 6, NIP: PL-676-248-01-77</w:t>
    </w:r>
  </w:p>
  <w:p>
    <w:pPr>
      <w:spacing w:after="0" w:line="240"/>
      <w:jc w:val="center"/>
    </w:pPr>
    <w:r>
      <w:rPr>
        <w:u w:val="single"/>
        <w:color w:val="0000FF"/>
        <w:sz w:val="16"/>
        <w:szCs w:val="16"/>
        <w:rFonts w:ascii="Century Gothic" w:cs="Century Gothic" w:eastAsia="Century Gothic" w:hAnsi="Century Gothic"/>
      </w:rPr>
      <w:t xml:space="preserve">biuro@nowinakonopka.com</w:t>
    </w:r>
    <w:r>
      <w:rPr>
        <w:color w:val="000000"/>
        <w:sz w:val="18"/>
        <w:szCs w:val="18"/>
        <w:rFonts w:ascii="Century Gothic" w:cs="Century Gothic" w:eastAsia="Century Gothic" w:hAnsi="Century Gothic"/>
      </w:rPr>
      <w:t xml:space="preserve">    </w:t>
    </w:r>
    <w:r>
      <w:rPr>
        <w:u w:val="single"/>
        <w:color w:val="0000FF"/>
        <w:sz w:val="16"/>
        <w:szCs w:val="16"/>
        <w:rFonts w:ascii="Century Gothic" w:cs="Century Gothic" w:eastAsia="Century Gothic" w:hAnsi="Century Gothic"/>
      </w:rPr>
      <w:t xml:space="preserve">http://www.nowinakonopka.com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9638"/>
      <w:tblBorders>
        <w:top w:val="none" w:color="FFFFFF" w:sz="0"/>
        <w:left w:val="none" w:color="FFFFFF" w:sz="0"/>
        <w:bottom w:val="none" w:color="FFFFFF" w:sz="0"/>
        <w:right w:val="none" w:color="FFFFFF" w:sz="0"/>
        <w:insideH w:val="none" w:color="FFFFFF" w:sz="0"/>
        <w:insideV w:val="none" w:color="FFFFFF" w:sz="0"/>
      </w:tblBorders>
    </w:tblPr>
    <w:tblGrid>
      <w:gridCol w:w="3600"/>
      <w:gridCol w:w="5400"/>
      <w:gridCol w:w="638"/>
    </w:tblGrid>
    <w:tr>
      <w:tc>
        <w:tcPr>
          <w:tcW w:type="dxa" w:w="3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</w:tcPr>
        <w:p>
          <w:pPr>
            <w:spacing w:after="0" w:line="240"/>
          </w:pPr>
          <w:r>
            <w:rPr>
              <w:sz w:val="16"/>
              <w:szCs w:val="16"/>
              <w:rFonts w:ascii="Verdana" w:cs="Verdana" w:eastAsia="Verdana" w:hAnsi="Verdana"/>
            </w:rPr>
          </w:r>
        </w:p>
      </w:tc>
      <w:tc>
        <w:tcPr>
          <w:tcW w:type="dxa" w:w="5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top"/>
        </w:tcPr>
        <w:p>
          <w:pPr>
            <w:spacing w:after="0" w:line="240"/>
            <w:jc w:val="center"/>
          </w:pPr>
          <w:r>
            <w:rPr>
              <w:b/>
              <w:bCs/>
              <w:color w:val="000000"/>
              <w:sz w:val="18"/>
              <w:szCs w:val="18"/>
              <w:rFonts w:ascii="Times New Roman" w:cs="Times New Roman" w:eastAsia="Times New Roman" w:hAnsi="Times New Roman"/>
            </w:rPr>
            <w:t xml:space="preserve">PLATFORMOWE SYSTEMY PARKINGOWE</w:t>
          </w:r>
        </w:p>
      </w:tc>
      <w:tc>
        <w:tcPr>
          <w:tcW w:type="dxa" w:w="63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top"/>
        </w:tcPr>
        <w:p>
          <w:pPr>
            <w:shd w:fill="9DBCE3" w:color="auto" w:val="clear"/>
            <w:spacing w:after="0" w:line="240"/>
            <w:jc w:val="center"/>
          </w:pPr>
          <w:r>
            <w:rPr>
              <w:b/>
              <w:bCs/>
              <w:color w:val="FFFFFF"/>
              <w:sz w:val="20"/>
              <w:szCs w:val="20"/>
              <w:rFonts w:ascii="Book Antiqua" w:cs="Book Antiqua" w:eastAsia="Book Antiqua" w:hAnsi="Book Antiqua"/>
            </w:rPr>
            <w:fldChar w:fldCharType="begin"/>
            <w:instrText xml:space="preserve">PAGE</w:instrText>
            <w:fldChar w:fldCharType="separate"/>
            <w:fldChar w:fldCharType="end"/>
          </w:r>
        </w:p>
      </w:tc>
    </w:tr>
  </w:tbl>
  <w:p>
    <w:pPr>
      <w:spacing w:after="0" w:line="240"/>
    </w:pPr>
    <w:r>
      <w:rPr>
        <w:sz w:val="16"/>
        <w:szCs w:val="16"/>
        <w:rFonts w:ascii="Verdana" w:cs="Verdana" w:eastAsia="Verdana" w:hAnsi="Verdana"/>
      </w:rPr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9638"/>
      <w:tblBorders>
        <w:top w:val="none" w:color="FFFFFF" w:sz="0"/>
        <w:left w:val="none" w:color="FFFFFF" w:sz="0"/>
        <w:bottom w:val="none" w:color="FFFFFF" w:sz="0"/>
        <w:right w:val="none" w:color="FFFFFF" w:sz="0"/>
        <w:insideH w:val="none" w:color="FFFFFF" w:sz="0"/>
        <w:insideV w:val="none" w:color="FFFFFF" w:sz="0"/>
      </w:tblBorders>
    </w:tblPr>
    <w:tblGrid>
      <w:gridCol w:w="3600"/>
      <w:gridCol w:w="5400"/>
      <w:gridCol w:w="638"/>
    </w:tblGrid>
    <w:tr>
      <w:tc>
        <w:tcPr>
          <w:tcW w:type="dxa" w:w="3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</w:tcPr>
        <w:p>
          <w:r>
            <w:drawing>
              <wp:inline distT="0" distB="0" distL="0" distR="0">
                <wp:extent cx="2209800" cy="55245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2209800" cy="55245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5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top"/>
        </w:tcPr>
        <w:p>
          <w:pPr>
            <w:spacing w:after="0" w:line="240"/>
            <w:jc w:val="center"/>
          </w:pPr>
          <w:r>
            <w:rPr>
              <w:b/>
              <w:bCs/>
              <w:color w:val="000000"/>
              <w:sz w:val="18"/>
              <w:szCs w:val="18"/>
              <w:rFonts w:ascii="Times New Roman" w:cs="Times New Roman" w:eastAsia="Times New Roman" w:hAnsi="Times New Roman"/>
            </w:rPr>
            <w:t xml:space="preserve">PLATFORMOWE SYSTEMY PARKINGOWE</w:t>
          </w:r>
        </w:p>
        <w:p>
          <w:pPr>
            <w:spacing w:after="0" w:line="240"/>
            <w:jc w:val="center"/>
          </w:pPr>
          <w:r>
            <w:rPr>
              <w:b/>
              <w:bCs/>
              <w:color w:val="000000"/>
              <w:sz w:val="18"/>
              <w:szCs w:val="18"/>
              <w:rFonts w:ascii="Times New Roman" w:cs="Times New Roman" w:eastAsia="Times New Roman" w:hAnsi="Times New Roman"/>
            </w:rPr>
            <w:t xml:space="preserve">PSP NOWINAKONOPKA TECHNOLOGIES SP. Z O.O. S.K.</w:t>
          </w:r>
        </w:p>
        <w:p>
          <w:pPr>
            <w:spacing w:after="0" w:line="240"/>
            <w:jc w:val="center"/>
          </w:pPr>
          <w:r>
            <w:rPr>
              <w:b w:val="false"/>
              <w:bCs w:val="false"/>
              <w:color w:val="444444"/>
              <w:sz w:val="17"/>
              <w:szCs w:val="17"/>
              <w:rFonts w:ascii="Century Gothic" w:cs="Century Gothic" w:eastAsia="Century Gothic" w:hAnsi="Century Gothic"/>
            </w:rPr>
            <w:t xml:space="preserve">31-123 Kraków, ul. Krupnicza 6</w:t>
          </w:r>
        </w:p>
        <w:p>
          <w:pPr>
            <w:spacing w:after="0" w:line="240"/>
            <w:jc w:val="center"/>
          </w:pPr>
          <w:r>
            <w:rPr>
              <w:b w:val="false"/>
              <w:bCs w:val="false"/>
              <w:color w:val="444444"/>
              <w:sz w:val="17"/>
              <w:szCs w:val="17"/>
              <w:rFonts w:ascii="Century Gothic" w:cs="Century Gothic" w:eastAsia="Century Gothic" w:hAnsi="Century Gothic"/>
            </w:rPr>
            <w:t xml:space="preserve">tel. +48 12 4212735</w:t>
          </w:r>
        </w:p>
        <w:p>
          <w:pPr>
            <w:spacing w:after="0" w:line="240"/>
            <w:jc w:val="center"/>
          </w:pPr>
          <w:r>
            <w:rPr>
              <w:b w:val="false"/>
              <w:bCs w:val="false"/>
              <w:color w:val="444444"/>
              <w:sz w:val="17"/>
              <w:szCs w:val="17"/>
              <w:rFonts w:ascii="Century Gothic" w:cs="Century Gothic" w:eastAsia="Century Gothic" w:hAnsi="Century Gothic"/>
            </w:rPr>
            <w:t xml:space="preserve">tel. 601 289 709</w:t>
          </w:r>
        </w:p>
      </w:tc>
      <w:tc>
        <w:tcPr>
          <w:tcW w:type="dxa" w:w="63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top"/>
        </w:tcPr>
        <w:p>
          <w:pPr>
            <w:shd w:fill="9DBCE3" w:color="auto" w:val="clear"/>
            <w:spacing w:after="0" w:line="240"/>
            <w:jc w:val="center"/>
          </w:pPr>
          <w:r>
            <w:rPr>
              <w:b/>
              <w:bCs/>
              <w:color w:val="FFFFFF"/>
              <w:sz w:val="20"/>
              <w:szCs w:val="20"/>
              <w:rFonts w:ascii="Book Antiqua" w:cs="Book Antiqua" w:eastAsia="Book Antiqua" w:hAnsi="Book Antiqua"/>
            </w:rPr>
            <w:fldChar w:fldCharType="begin"/>
            <w:instrText xml:space="preserve">PAGE</w:instrText>
            <w:fldChar w:fldCharType="separate"/>
            <w:fldChar w:fldCharType="end"/>
          </w:r>
        </w:p>
      </w:tc>
    </w:tr>
  </w:tbl>
  <w:p>
    <w:pPr>
      <w:spacing w:after="0" w:line="240"/>
    </w:pPr>
    <w:r>
      <w:rPr>
        <w:sz w:val="16"/>
        <w:szCs w:val="16"/>
        <w:rFonts w:ascii="Verdana" w:cs="Verdana" w:eastAsia="Verdana" w:hAnsi="Verdana"/>
      </w:rPr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09" w:hanging="284"/>
      </w:pPr>
      <w:rPr>
        <w:color w:val="3366CC"/>
        <w:sz w:val="22"/>
        <w:szCs w:val="22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16"/>
        <w:szCs w:val="16"/>
        <w:rFonts w:ascii="Verdana" w:cs="Verdana" w:eastAsia="Verdana" w:hAnsi="Verdan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header" Target="header2.xml"/><Relationship Id="rId8" Type="http://schemas.openxmlformats.org/officeDocument/2006/relationships/footer" Target="footer1.xml"/><Relationship Id="rId9" Type="http://schemas.openxmlformats.org/officeDocument/2006/relationships/footer" Target="footer2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><Relationship Id="rId0" Type="http://schemas.openxmlformats.org/officeDocument/2006/relationships/image" Target="media/6pc3oyzrx32gnzs3ez4gs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Kalkulator NK38</dc:creator>
  <cp:lastModifiedBy>Un-named</cp:lastModifiedBy>
  <cp:revision>1</cp:revision>
  <dcterms:created xsi:type="dcterms:W3CDTF">2026-10-27T14:04:45.205Z</dcterms:created>
  <dcterms:modified xsi:type="dcterms:W3CDTF">2026-10-27T14:04:45.205Z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