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0" w:after="0" w:line="240"/>
      </w:pPr>
      <w:r>
        <w:rPr>
          <w:sz w:val="16"/>
          <w:szCs w:val="16"/>
          <w:rFonts w:ascii="Verdana" w:cs="Verdana" w:eastAsia="Verdana" w:hAnsi="Verdana"/>
        </w:rPr>
        <w:t xml:space="preserve">Kraków, dnia 27.10.2026r.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Szanowny Pan</w:t>
      </w:r>
    </w:p>
    <w:p>
      <w:pPr>
        <w:spacing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Jan Przykładowy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Kierownik Budowy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tel. +48 500 000 000</w:t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e-mail: </w:t>
      </w:r>
      <w:r>
        <w:rPr>
          <w:u w:val="single"/>
          <w:color w:val="0000FF"/>
          <w:sz w:val="16"/>
          <w:szCs w:val="16"/>
          <w:rFonts w:ascii="Verdana" w:cs="Verdana" w:eastAsia="Verdana" w:hAnsi="Verdana"/>
        </w:rPr>
        <w:t xml:space="preserve">jan.przykladowy@example.com</w:t>
      </w: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Przykładowy Inwestor Sp. z o.o.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ul. Testowa 1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00-001 Warszawa</w:t>
      </w:r>
    </w:p>
    <w:p>
      <w:pPr>
        <w:spacing w:after="0" w:line="240"/>
      </w:pPr>
      <w:r>
        <w:rPr>
          <w:b w:val="false"/>
          <w:bCs w:val="false"/>
          <w:sz w:val="16"/>
          <w:szCs w:val="16"/>
          <w:rFonts w:ascii="Verdana" w:cs="Verdana" w:eastAsia="Verdana" w:hAnsi="Verdana"/>
        </w:rPr>
        <w:t xml:space="preserve">NIP: 000-000-00-00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b/>
          <w:bCs/>
          <w:i/>
          <w:iCs/>
          <w:u w:val="single"/>
          <w:sz w:val="16"/>
          <w:szCs w:val="16"/>
          <w:rFonts w:ascii="Verdana" w:cs="Verdana" w:eastAsia="Verdana" w:hAnsi="Verdana"/>
        </w:rPr>
        <w:t xml:space="preserve">Oferta nr PRZYKLAD/INK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</w:pPr>
      <w:r>
        <w:rPr>
          <w:sz w:val="16"/>
          <w:szCs w:val="16"/>
          <w:rFonts w:ascii="Verdana" w:cs="Verdana" w:eastAsia="Verdana" w:hAnsi="Verdana"/>
        </w:rPr>
        <w:t xml:space="preserve">Szanowny Panie,</w:t>
      </w:r>
    </w:p>
    <w:p>
      <w:pPr>
        <w:spacing w:after="0" w:line="240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 związku z otrzymanym zapytaniem przedstawiamy naszą ofertę na dostawę i montaż 16 platform służących do niezależnego parkowania 52 pojazdów w garażu inwestycji ul. Lipowa 12, Kraków.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Specyfikacja oferty:</w:t>
      </w:r>
    </w:p>
    <w:p>
      <w:pPr>
        <w:spacing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Urządzenia </w:t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NK38</w:t>
      </w:r>
      <w:r>
        <w:rPr>
          <w:color w:val="3366CC"/>
          <w:sz w:val="16"/>
          <w:szCs w:val="16"/>
          <w:rFonts w:ascii="Verdana" w:cs="Verdana" w:eastAsia="Verdana" w:hAnsi="Verdana"/>
        </w:rPr>
        <w:t xml:space="preserve"> do niezależnego parkowania pojazdów (z zagłębieniem)</w:t>
      </w:r>
    </w:p>
    <w:p>
      <w:pPr>
        <w:spacing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Dane techniczne: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Zagłębienie:</w:t>
      </w:r>
      <w:r>
        <w:rPr>
          <w:sz w:val="16"/>
          <w:szCs w:val="16"/>
          <w:rFonts w:ascii="Verdana" w:cs="Verdana" w:eastAsia="Verdana" w:hAnsi="Verdana"/>
        </w:rPr>
        <w:t xml:space="preserve"> wysokość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1-190,</w:t>
      </w:r>
      <w:r>
        <w:rPr>
          <w:sz w:val="16"/>
          <w:szCs w:val="16"/>
          <w:rFonts w:ascii="Verdana" w:cs="Verdana" w:eastAsia="Verdana" w:hAnsi="Verdana"/>
        </w:rPr>
        <w:t xml:space="preserve"> H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2-195</w:t>
      </w:r>
      <w:r>
        <w:rPr>
          <w:sz w:val="16"/>
          <w:szCs w:val="16"/>
          <w:rFonts w:ascii="Verdana" w:cs="Verdana" w:eastAsia="Verdana" w:hAnsi="Verdana"/>
        </w:rPr>
        <w:t xml:space="preserve">cm; długość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530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Prześwit między-kondygnacyjny:</w:t>
      </w:r>
      <w:r>
        <w:rPr>
          <w:sz w:val="16"/>
          <w:szCs w:val="16"/>
          <w:rFonts w:ascii="Verdana" w:cs="Verdana" w:eastAsia="Verdana" w:hAnsi="Verdana"/>
        </w:rPr>
        <w:t xml:space="preserve"> min.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360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Wysokość parkowanych pojazdów*: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▲-165</w:t>
      </w:r>
      <w:r>
        <w:rPr>
          <w:sz w:val="16"/>
          <w:szCs w:val="16"/>
          <w:rFonts w:ascii="Verdana" w:cs="Verdana" w:eastAsia="Verdana" w:hAnsi="Verdana"/>
        </w:rPr>
        <w:t xml:space="preserve">cm,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▼-175</w:t>
      </w:r>
      <w:r>
        <w:rPr>
          <w:sz w:val="16"/>
          <w:szCs w:val="16"/>
          <w:rFonts w:ascii="Verdana" w:cs="Verdana" w:eastAsia="Verdana" w:hAnsi="Verdana"/>
        </w:rPr>
        <w:t xml:space="preserve">cm;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*w zależności od zastanych wysokości zagłębienia oraz prześwitu pomieścimy pojazdy w podanych wyżej wysokościach lub wyższych na górnej platformie jeśli prześwit będzie miejscowo na to pozwalał. Prowadzone górą instalacje mogą znacząco prześwit ograniczyć!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Jeżeli prześwit w garażu będzie wyższy, automatycznie na górnej platformie będą mogły zaparkować odpowiednio wyższe samochody.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kg/koło;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antykorozyjne:</w:t>
      </w:r>
      <w:r>
        <w:rPr>
          <w:sz w:val="16"/>
          <w:szCs w:val="16"/>
          <w:rFonts w:ascii="Verdana" w:cs="Verdana" w:eastAsia="Verdana" w:hAnsi="Verdana"/>
        </w:rPr>
        <w:t xml:space="preserve"> urządzenie zabezpieczone ocynkiem ogniowym oraz częściowo lakierowane.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Zabezpieczenie po bokach:</w:t>
      </w:r>
      <w:r>
        <w:rPr>
          <w:sz w:val="16"/>
          <w:szCs w:val="16"/>
          <w:rFonts w:ascii="Verdana" w:cs="Verdana" w:eastAsia="Verdana" w:hAnsi="Verdana"/>
        </w:rPr>
        <w:t xml:space="preserve"> barierki systemowe lub profile zmniejszające prześwit poziomy mocowane do ścian wszędzie tam gdzie istnieje przerwa pomiędzy platformami bądź platformami i ścianami co najmniej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20</w:t>
      </w:r>
      <w:r>
        <w:rPr>
          <w:sz w:val="16"/>
          <w:szCs w:val="16"/>
          <w:rFonts w:ascii="Verdana" w:cs="Verdana" w:eastAsia="Verdana" w:hAnsi="Verdana"/>
        </w:rPr>
        <w:t xml:space="preserve">cm, zg. z PN.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NK38-S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280cm,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10 szt. – 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NK38-D</w:t>
      </w:r>
      <w:r>
        <w:rPr>
          <w:sz w:val="16"/>
          <w:szCs w:val="16"/>
          <w:rFonts w:ascii="Verdana" w:cs="Verdana" w:eastAsia="Verdana" w:hAnsi="Verdana"/>
        </w:rPr>
        <w:t xml:space="preserve"> szer. użytkowa platformy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500</w:t>
      </w:r>
      <w:r>
        <w:rPr>
          <w:sz w:val="16"/>
          <w:szCs w:val="16"/>
          <w:rFonts w:ascii="Verdana" w:cs="Verdana" w:eastAsia="Verdana" w:hAnsi="Verdana"/>
        </w:rPr>
        <w:t xml:space="preserve">cm, szer. zewnętrzna urządzenia 530cm,</w:t>
      </w:r>
    </w:p>
    <w:p>
      <w:pPr>
        <w:pStyle w:val="ListParagraph"/>
        <w:numPr>
          <w:ilvl w:val="0"/>
          <w:numId w:val="2"/>
        </w:numPr>
        <w:spacing w:before="40" w:after="0" w:line="240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 szt. –  </w:t>
      </w:r>
      <w:r>
        <w:rPr>
          <w:sz w:val="16"/>
          <w:szCs w:val="16"/>
          <w:rFonts w:ascii="Verdana" w:cs="Verdana" w:eastAsia="Verdana" w:hAnsi="Verdana"/>
        </w:rPr>
        <w:t xml:space="preserve">Agregat</w:t>
      </w:r>
      <w:r>
        <w:rPr>
          <w:sz w:val="16"/>
          <w:szCs w:val="16"/>
          <w:rFonts w:ascii="Verdana" w:cs="Verdana" w:eastAsia="Verdana" w:hAnsi="Verdana"/>
        </w:rPr>
        <w:t xml:space="preserve"> hydrauliczny 400V, 50Hz, 6kW.</w:t>
      </w:r>
    </w:p>
    <w:p>
      <w:pPr>
        <w:spacing w:before="120" w:after="0" w:line="240"/>
        <w:ind w:left="284"/>
        <w:jc w:val="both"/>
      </w:pP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</w:p>
    <w:p>
      <w:pPr>
        <w:spacing w:after="0" w:line="240"/>
        <w:ind w:left="284"/>
        <w:jc w:val="both"/>
      </w:pPr>
      <w:r>
        <w:rPr>
          <w:i/>
          <w:iCs/>
          <w:sz w:val="16"/>
          <w:szCs w:val="16"/>
          <w:rFonts w:ascii="Verdana" w:cs="Verdana" w:eastAsia="Verdana" w:hAnsi="Verdana"/>
        </w:rPr>
        <w:t xml:space="preserve">Obciążenie platformy: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2500</w:t>
      </w:r>
      <w:r>
        <w:rPr>
          <w:sz w:val="16"/>
          <w:szCs w:val="16"/>
          <w:rFonts w:ascii="Verdana" w:cs="Verdana" w:eastAsia="Verdana" w:hAnsi="Verdana"/>
        </w:rPr>
        <w:t xml:space="preserve">kg/miejsce postojowe, </w:t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625</w:t>
      </w:r>
      <w:r>
        <w:rPr>
          <w:sz w:val="16"/>
          <w:szCs w:val="16"/>
          <w:rFonts w:ascii="Verdana" w:cs="Verdana" w:eastAsia="Verdana" w:hAnsi="Verdana"/>
        </w:rPr>
        <w:t xml:space="preserve">kg/koło.</w:t>
      </w:r>
    </w:p>
    <w:p>
      <w:pPr>
        <w:tabs>
          <w:tab w:val="left" w:pos="284"/>
          <w:tab w:val="right" w:pos="9638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Wartość zamówienia netto.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Pozycja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800.700,00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Warunki płatności:</w:t>
      </w:r>
      <w:r>
        <w:tab/>
      </w:r>
      <w:r>
        <w:rPr>
          <w:b/>
          <w:bCs/>
          <w:color w:val="3366CC"/>
          <w:sz w:val="16"/>
          <w:szCs w:val="16"/>
          <w:rFonts w:ascii="Verdana" w:cs="Verdana" w:eastAsia="Verdana" w:hAnsi="Verdana"/>
        </w:rPr>
        <w:t xml:space="preserve">Opcja 1:</w:t>
      </w:r>
      <w:r>
        <w:rPr>
          <w:sz w:val="16"/>
          <w:szCs w:val="16"/>
          <w:rFonts w:ascii="Verdana" w:cs="Verdana" w:eastAsia="Verdana" w:hAnsi="Verdana"/>
        </w:rPr>
        <w:t xml:space="preserve"> </w:t>
      </w:r>
      <w:r>
        <w:rPr>
          <w:b/>
          <w:bCs/>
          <w:u w:val="single"/>
          <w:sz w:val="16"/>
          <w:szCs w:val="16"/>
          <w:rFonts w:ascii="Verdana" w:cs="Verdana" w:eastAsia="Verdana" w:hAnsi="Verdana"/>
        </w:rPr>
        <w:t xml:space="preserve">50.200,00 zł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30% zaliczka na 22 tygodnie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60% płatność na 5 dni przed dostawą,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90% płatność do 21 dni po dostawie,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do 100% płatność do 21 dni po pierwszym badaniu UDT.</w:t>
      </w:r>
    </w:p>
    <w:p>
      <w:pPr>
        <w:tabs>
          <w:tab w:val="right" w:pos="9638"/>
        </w:tabs>
        <w:spacing w:after="0" w:line="240"/>
        <w:ind w:left="284"/>
      </w:pPr>
      <w:r>
        <w:rPr>
          <w:sz w:val="16"/>
          <w:szCs w:val="16"/>
          <w:rFonts w:ascii="Verdana" w:cs="Verdana" w:eastAsia="Verdana" w:hAnsi="Verdana"/>
        </w:rPr>
        <w:t xml:space="preserve">Oferta ważna jest 2 miesiące.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Dostawa i montaż.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Pierwsza dostawa nastąpi nie wcześniej niż po ok. 24 tygodniach od zawarcia umowy, w zależności od aktualnie realizowanych zleceń.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Przewidywany czas montażu 7-9 tygodni od dnia dostawy, w zależności od warunków panujących na budowie.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Zakres oferty.</w:t>
      </w:r>
    </w:p>
    <w:p>
      <w:pPr>
        <w:spacing w:before="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Dostawa na plac budowy urządzeń parkingowych, montaż, rozruch i doprowadzenie do badań ruchowych poprzedzających wydanie decyzji o dopuszczeniu do użytkowania wraz z kompletem dokumentów określonych przepisami UDT oraz przeprowadzeniem szkolenia Zamawiającego. Koszty badań UDT obciążają Zamawiającego.</w:t>
      </w:r>
    </w:p>
    <w:p>
      <w:pPr>
        <w:spacing w:before="120" w:after="0" w:line="240"/>
        <w:ind w:left="284"/>
        <w:jc w:val="both"/>
      </w:pPr>
      <w:r>
        <w:rPr>
          <w:u w:val="single"/>
          <w:sz w:val="16"/>
          <w:szCs w:val="16"/>
          <w:rFonts w:ascii="Verdana" w:cs="Verdana" w:eastAsia="Verdana" w:hAnsi="Verdana"/>
        </w:rPr>
        <w:t xml:space="preserve">Poza ofertą pozostają:</w:t>
      </w:r>
      <w:r>
        <w:rPr>
          <w:sz w:val="16"/>
          <w:szCs w:val="16"/>
          <w:rFonts w:ascii="Verdana" w:cs="Verdana" w:eastAsia="Verdana" w:hAnsi="Verdana"/>
        </w:rPr>
        <w:t xml:space="preserve"> koszty przeprowadzenia badania przez UDT, wszelkie roboty budowlano-wykończeniowe obiektu, wykonanie stałych barier budowlanych zabezpieczających dostęp do zagłębienia w przypadku braku ścian (jeśli konieczne / zgodnie z naszymi wytycznymi), wykonanie przepustów przez ściany działowe o średnicy fi 100mm dla przeprowadzenia przewodów elektrycznych i hydraulicznych (jeśli konieczne / zgodnie z naszymi wytycznymi), wypełnianie szczelin, ewentualnych robót w budynku wynikających z zaleceń UDT, wyposażenia w instalację przeciw pożarową, wentylacyjną, elektryczną obiektu, sygnalizacyjną, oznaczeń pionowych i poziomych bezpieczeństwa i organizacji ruchu na terenie obiektu (w tym numeracja miejsc postojowych) oraz pomiarów elektrycznych linii zasilających (wykonywanych przez budowę).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Warunki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Wszelkie elementy konstrukcyjne garażu powinny być wykonane dokładnie i zgodnie z dokumentacją projektową oraz naszymi wytycznymi. Powierzchnie podłoży wykonane z betonu C20/25 o odpowiedniej nośności, pozostające w stanie suchym i nie pylące. Wszelkie roboty budowlane, instalacyjne i wykończeniowe oraz sprzątanie należy zakończyć przed przystąpieniem do montażu urządzeń parkingowych. Na czas montażu należy zapewnić dostęp do energii elektrycznej w bliskim sąsiedztwie montażu. Wymagane jest oświetlenie zgodne z normą DIN 67528 „Oświetlenie miejsc parkingowych”.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Zamawiający powinien umożliwić dojazd samochodem ciężarowym o długości 20m do miejsca składowania, rozładować oraz przetransportować elementy urządzeń na miejsce montażu.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Ponadto Zamawiający zobowiązany jest w zakresie zasilania elektrycznego urządzeń NK38 do wykonania: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1.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Zabezpieczenia głównego zwłocznego 3x16A dla każdego agregatu hydraulicznego 6kW, 400V, 50Hz;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2.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Zasilania od zabezpieczeń do rozłącznika głównego przewodem 3Ph+N+PE 5x2.5mm2;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3.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Rozłącznika głównego blokowanego 16A 3Ph+1N – w miejscu ustalonym z dostawcą urządzeń;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4.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Doprowadzenia przewodu 5x2,5 mm2 od rozłącznika do skrzyni elektrycznej;</w:t>
      </w:r>
    </w:p>
    <w:p>
      <w:pPr>
        <w:tabs>
          <w:tab w:val="left" w:pos="710"/>
        </w:tabs>
        <w:spacing w:after="0" w:line="240"/>
        <w:ind w:left="710" w:hanging="426"/>
      </w:pPr>
      <w:r>
        <w:rPr>
          <w:sz w:val="16"/>
          <w:szCs w:val="16"/>
          <w:rFonts w:ascii="Verdana" w:cs="Verdana" w:eastAsia="Verdana" w:hAnsi="Verdana"/>
        </w:rPr>
        <w:t xml:space="preserve">5.</w:t>
      </w:r>
      <w:r>
        <w:tab/>
      </w:r>
      <w:r>
        <w:rPr>
          <w:sz w:val="16"/>
          <w:szCs w:val="16"/>
          <w:rFonts w:ascii="Verdana" w:cs="Verdana" w:eastAsia="Verdana" w:hAnsi="Verdana"/>
        </w:rPr>
        <w:t xml:space="preserve">Instalacji uziemiającej do każdego prawego/lewego słupa urządzenia.</w:t>
      </w:r>
    </w:p>
    <w:p>
      <w:pPr>
        <w:spacing w:before="80"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Po zakończeniu montażu Zamawiający powinien oznakować krawędzie zagłębienia żółto-czarnym pasem ostrzegawczym zgodnie z ISO 3864 dla oznaczenia obszaru niebezpiecznego.</w:t>
      </w:r>
    </w:p>
    <w:p>
      <w:pPr>
        <w:tabs>
          <w:tab w:val="left" w:pos="284"/>
        </w:tabs>
        <w:spacing w:before="200" w:after="20" w:line="240"/>
        <w:ind w:left="284" w:hanging="284"/>
      </w:pPr>
      <w:r>
        <w:rPr>
          <w:b/>
          <w:bCs/>
          <w:sz w:val="16"/>
          <w:szCs w:val="16"/>
          <w:rFonts w:ascii="Verdana" w:cs="Verdana" w:eastAsia="Verdana" w:hAnsi="Verdana"/>
        </w:rPr>
        <w:t xml:space="preserve">6.</w:t>
      </w:r>
      <w:r>
        <w:tab/>
      </w:r>
      <w:r>
        <w:rPr>
          <w:b/>
          <w:bCs/>
          <w:sz w:val="16"/>
          <w:szCs w:val="16"/>
          <w:rFonts w:ascii="Verdana" w:cs="Verdana" w:eastAsia="Verdana" w:hAnsi="Verdana"/>
        </w:rPr>
        <w:t xml:space="preserve">Gwarancja.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Producent udziela 36/60 miesięcznej gwarancji jakości na sprawne działanie urządzeń pod warunkiem zawarcia z dostawcą, w terminie do 5 miesięcy od badania wstępnego UDT, i utrzymania w mocy umowy konserwacyjno-serwisowej, umożliwiającej nam stałą opiekę oraz nadzór nad stanem technicznym platform. W ramach umowy serwisowej dokonywane są 2 przeglądy serwisowe w ciągu roku.</w:t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Gwarancja nie obejmuje zużycia części eksploatacyjnych, uszkodzeń wynikających z eksploatacji niezgodnej z instrukcją użytkowania, agresywnego środowiska, zbyt dużej wilgotności, uszkodzeń powstałych w wyniku zdarzeń losowych (np. pożar, zalanie). Po upływie okresu gwarancji świadczymy serwis pogwarancyjny.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284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Wyrażamy przekonanie iż przedstawiona oferta zyska Państwa aprobatę i przyczyni się do dalszej owocnej współpracy.</w:t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8"/>
        <w:jc w:val="both"/>
      </w:pPr>
      <w:r>
        <w:rPr>
          <w:sz w:val="16"/>
          <w:szCs w:val="16"/>
          <w:rFonts w:ascii="Verdana" w:cs="Verdana" w:eastAsia="Verdana" w:hAnsi="Verdana"/>
        </w:rPr>
        <w:t xml:space="preserve">Z poważaniem,</w:t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 w:before="0"/>
      </w:pPr>
      <w:r>
        <w:rPr>
          <w:sz w:val="16"/>
          <w:szCs w:val="16"/>
          <w:rFonts w:ascii="Verdana" w:cs="Verdana" w:eastAsia="Verdana" w:hAnsi="Verdana"/>
        </w:rPr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arch. Iwo Nowina Konopka</w:t>
      </w:r>
    </w:p>
    <w:p>
      <w:pPr>
        <w:spacing w:after="0" w:line="240"/>
        <w:ind w:left="567"/>
        <w:jc w:val="left"/>
      </w:pPr>
      <w:r>
        <w:rPr>
          <w:sz w:val="16"/>
          <w:szCs w:val="16"/>
          <w:rFonts w:ascii="Verdana" w:cs="Verdana" w:eastAsia="Verdana" w:hAnsi="Verdana"/>
        </w:rPr>
        <w:t xml:space="preserve">Prezes Zarządu</w:t>
      </w:r>
    </w:p>
    <w:sectPr>
      <w:headerReference w:type="default" r:id="rId6"/>
      <w:headerReference w:type="first" r:id="rId7"/>
      <w:footerReference w:type="default" r:id="rId8"/>
      <w:footerReference w:type="first" r:id="rId9"/>
      <w:pgSz w:w="11906" w:h="16838" w:orient="portrait"/>
      <w:pgMar w:top="1418" w:right="1134" w:bottom="1418" w:left="1134" w:header="425" w:footer="425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120" w:line="240"/>
      <w:jc w:val="both"/>
    </w:pPr>
    <w:r>
      <w:rPr>
        <w:color w:val="444444"/>
        <w:sz w:val="12"/>
        <w:szCs w:val="12"/>
        <w:rFonts w:ascii="Verdana" w:cs="Verdana" w:eastAsia="Verdana" w:hAnsi="Verdana"/>
      </w:rPr>
      <w:t xml:space="preserve">Klauzula poufności. Klient zobowiązuje się do zachowania najwyższej poufności względem zawartości i przedmiotu niniejszej oferty i załączonej dokumentacji. Zobowiązuje się również do nie rozpowszechniania jej treści ani do nie używania jej w celach innych niż ocena tej oferty.</w:t>
    </w:r>
  </w:p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4"/>
      </w:pBd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PSP NowinaKonopka Technologies Sp. z o.o. S.K.</w:t>
    </w:r>
  </w:p>
  <w:p>
    <w:pPr>
      <w:spacing w:after="0" w:line="240"/>
      <w:jc w:val="center"/>
    </w:pPr>
    <w:r>
      <w:rPr>
        <w:sz w:val="20"/>
        <w:szCs w:val="20"/>
        <w:rFonts w:ascii="Century Gothic" w:cs="Century Gothic" w:eastAsia="Century Gothic" w:hAnsi="Century Gothic"/>
      </w:rPr>
      <w:t xml:space="preserve">31-123 Kraków, ul. Krupnicza 6, NIP: PL-676-248-01-77</w:t>
    </w:r>
  </w:p>
  <w:p>
    <w:pPr>
      <w:spacing w:after="0" w:line="240"/>
      <w:jc w:val="center"/>
    </w:pP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biuro@nowinakonopka.com</w:t>
    </w:r>
    <w:r>
      <w:rPr>
        <w:color w:val="000000"/>
        <w:sz w:val="18"/>
        <w:szCs w:val="18"/>
        <w:rFonts w:ascii="Century Gothic" w:cs="Century Gothic" w:eastAsia="Century Gothic" w:hAnsi="Century Gothic"/>
      </w:rPr>
      <w:t xml:space="preserve">    </w:t>
    </w:r>
    <w:r>
      <w:rPr>
        <w:u w:val="single"/>
        <w:color w:val="0000FF"/>
        <w:sz w:val="16"/>
        <w:szCs w:val="16"/>
        <w:rFonts w:ascii="Century Gothic" w:cs="Century Gothic" w:eastAsia="Century Gothic" w:hAnsi="Century Gothic"/>
      </w:rPr>
      <w:t xml:space="preserve">http://www.nowinakonopka.com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pPr>
            <w:spacing w:after="0" w:line="240"/>
          </w:pPr>
          <w:r>
            <w:rPr>
              <w:sz w:val="16"/>
              <w:szCs w:val="16"/>
              <w:rFonts w:ascii="Verdana" w:cs="Verdana" w:eastAsia="Verdana" w:hAnsi="Verdana"/>
            </w:rPr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600"/>
      <w:gridCol w:w="5400"/>
      <w:gridCol w:w="638"/>
    </w:tblGrid>
    <w:tr>
      <w:tc>
        <w:tcPr>
          <w:tcW w:type="dxa" w:w="3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</w:tcPr>
        <w:p>
          <w:r>
            <w:drawing>
              <wp:inline distT="0" distB="0" distL="0" distR="0">
                <wp:extent cx="2209800" cy="5524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209800" cy="552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PLATFORMOWE SYSTEMY PARKINGOWE</w:t>
          </w:r>
        </w:p>
        <w:p>
          <w:pPr>
            <w:spacing w:after="0" w:line="240"/>
            <w:jc w:val="center"/>
          </w:pPr>
          <w:r>
            <w:rPr>
              <w:b/>
              <w:bCs/>
              <w:color w:val="000000"/>
              <w:sz w:val="18"/>
              <w:szCs w:val="18"/>
              <w:rFonts w:ascii="Times New Roman" w:cs="Times New Roman" w:eastAsia="Times New Roman" w:hAnsi="Times New Roman"/>
            </w:rPr>
            <w:t xml:space="preserve">PSP NOWINAKONOPKA TECHNOLOGIES SP. Z O.O. S.K.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31-123 Kraków, ul. Krupnicza 6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+48 12 4212735</w:t>
          </w:r>
        </w:p>
        <w:p>
          <w:pPr>
            <w:spacing w:after="0" w:line="240"/>
            <w:jc w:val="center"/>
          </w:pPr>
          <w:r>
            <w:rPr>
              <w:b w:val="false"/>
              <w:bCs w:val="false"/>
              <w:color w:val="444444"/>
              <w:sz w:val="17"/>
              <w:szCs w:val="17"/>
              <w:rFonts w:ascii="Century Gothic" w:cs="Century Gothic" w:eastAsia="Century Gothic" w:hAnsi="Century Gothic"/>
            </w:rPr>
            <w:t xml:space="preserve">tel. 601 289 709</w:t>
          </w:r>
        </w:p>
      </w:tc>
      <w:tc>
        <w:tcPr>
          <w:tcW w:type="dxa" w:w="6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hd w:fill="9DBCE3" w:color="auto" w:val="clear"/>
            <w:spacing w:after="0" w:line="240"/>
            <w:jc w:val="center"/>
          </w:pPr>
          <w:r>
            <w:rPr>
              <w:b/>
              <w:bCs/>
              <w:color w:val="FFFFFF"/>
              <w:sz w:val="20"/>
              <w:szCs w:val="20"/>
              <w:rFonts w:ascii="Book Antiqua" w:cs="Book Antiqua" w:eastAsia="Book Antiqua" w:hAnsi="Book Antiqua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</w:tbl>
  <w:p>
    <w:pPr>
      <w:spacing w:after="0" w:line="240"/>
    </w:pPr>
    <w:r>
      <w:rPr>
        <w:sz w:val="16"/>
        <w:szCs w:val="16"/>
        <w:rFonts w:ascii="Verdana" w:cs="Verdana" w:eastAsia="Verdana" w:hAnsi="Verdana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09" w:hanging="284"/>
      </w:pPr>
      <w:rPr>
        <w:color w:val="3366CC"/>
        <w:sz w:val="22"/>
        <w:szCs w:val="22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16"/>
        <w:szCs w:val="16"/>
        <w:rFonts w:ascii="Verdana" w:cs="Verdana" w:eastAsia="Verdana" w:hAnsi="Verdan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header" Target="header2.xml"/><Relationship Id="rId8" Type="http://schemas.openxmlformats.org/officeDocument/2006/relationships/footer" Target="footer1.xml"/><Relationship Id="rId9" Type="http://schemas.openxmlformats.org/officeDocument/2006/relationships/footer" Target="footer2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9csw3hbtmn4abq8fx0lrx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Kalkulator NK38</dc:creator>
  <cp:lastModifiedBy>Un-named</cp:lastModifiedBy>
  <cp:revision>1</cp:revision>
  <dcterms:created xsi:type="dcterms:W3CDTF">2026-10-27T14:04:44.526Z</dcterms:created>
  <dcterms:modified xsi:type="dcterms:W3CDTF">2026-10-27T14:04:44.526Z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