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27.10.2026r.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 związku z otrzymanym zapytaniem przedstawiamy naszą ofertę na dostawę i montaż 12 platform służących do niezależnego parkowania 40 pojazdów w garażu inwestycji ul. Słoneczna 3, Wrocław.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Urządzenia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NK37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do niezależnego parkowania pojazdów (z zagłębieniem)</w:t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wysokość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1-185,</w:t>
      </w:r>
      <w:r>
        <w:rPr>
          <w:sz w:val="16"/>
          <w:szCs w:val="16"/>
          <w:rFonts w:ascii="Verdana" w:cs="Verdana" w:eastAsia="Verdana" w:hAnsi="Verdana"/>
        </w:rPr>
        <w:t xml:space="preserve">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2-190</w:t>
      </w:r>
      <w:r>
        <w:rPr>
          <w:sz w:val="16"/>
          <w:szCs w:val="16"/>
          <w:rFonts w:ascii="Verdana" w:cs="Verdana" w:eastAsia="Verdana" w:hAnsi="Verdana"/>
        </w:rPr>
        <w:t xml:space="preserve">cm; długość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520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Prześwit między-kondygnacyjny:</w:t>
      </w:r>
      <w:r>
        <w:rPr>
          <w:sz w:val="16"/>
          <w:szCs w:val="16"/>
          <w:rFonts w:ascii="Verdana" w:cs="Verdana" w:eastAsia="Verdana" w:hAnsi="Verdana"/>
        </w:rPr>
        <w:t xml:space="preserve"> min.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350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▲-160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▼-170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*w zależności od zastanych wysokości zagłębienia oraz prześwitu pomieścimy pojazdy w podanych wyżej wysokościach lub wyższych na górnej platformie jeśli prześwit będzie miejscowo na to pozwalał. Prowadzone górą instalacje mogą znacząco prześwit ograniczyć!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Jeżeli prześwit w garażu będzie wyższy, automatycznie na górnej platformie będą mogły zaparkować odpowiednio wyższe samochody.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kg/koło;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urządzenie zabezpieczone ocynkiem ogniowym oraz częściowo lakierowane.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po bokach:</w:t>
      </w:r>
      <w:r>
        <w:rPr>
          <w:sz w:val="16"/>
          <w:szCs w:val="16"/>
          <w:rFonts w:ascii="Verdana" w:cs="Verdana" w:eastAsia="Verdana" w:hAnsi="Verdana"/>
        </w:rPr>
        <w:t xml:space="preserve"> barierki systemowe lub profile zmniejszające prześwit poziomy mocowane do ścian wszędzie tam gdzie istnieje przerwa pomiędzy platformami bądź platformami i ścianami co najmniej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</w:t>
      </w:r>
      <w:r>
        <w:rPr>
          <w:sz w:val="16"/>
          <w:szCs w:val="16"/>
          <w:rFonts w:ascii="Verdana" w:cs="Verdana" w:eastAsia="Verdana" w:hAnsi="Verdana"/>
        </w:rPr>
        <w:t xml:space="preserve">cm, zg. z PN.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NK37-S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280cm,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8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NK37-D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530cm,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6kW.</w:t>
      </w:r>
    </w:p>
    <w:p>
      <w:pPr>
        <w:spacing w:before="120"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625</w:t>
      </w:r>
      <w:r>
        <w:rPr>
          <w:sz w:val="16"/>
          <w:szCs w:val="16"/>
          <w:rFonts w:ascii="Verdana" w:cs="Verdana" w:eastAsia="Verdana" w:hAnsi="Verdana"/>
        </w:rPr>
        <w:t xml:space="preserve">kg/koło.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662.500,00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38.500,00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5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24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6-8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 oraz przeprowadzeniem szkolenia Zamawiającego.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stałych barier budowlanych zabezpieczających dostęp do zagłębienia w przypadku braku ścian (jeśli konieczne / zgodnie z naszymi wytycznymi), wykonanie przepustów przez ściany działowe o średnicy fi 100mm dla przeprowadzenia przewodów elektrycznych i hydraulicznych (jeśli konieczne / zgodnie z naszymi wytycznymi), wypełnianie szczelin, ewentualnych robót w budynku wynikających z zaleceń UDT, wyposażenia w instalację przeciw pożarową, wentylacyjną, elektryczną obiektu, sygnalizacyjną, oznaczeń pionowych i poziomych bezpieczeństwa i organizacji ruchu na terenie obiektu (w tym numeracja miejsc postojowych) oraz pomiarów elektrycznych linii zasilających (wykonywanych przez budowę).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 o odpowiedniej nośności, pozostające w stanie suchym i nie pylące. Wszelkie roboty budowlane, instalacyjne i wykończeniowe oraz sprzątanie należy zakończyć przed przystąpieniem do montażu urządzeń parkingowych. Na czas montażu należy zapewnić dostęp do energii elektrycznej w bliskim sąsiedztwie montażu. Wymagane jest oświetlenie zgodne z normą DIN 67528 „Oświetlenie miejsc parkingowych”.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Zamawiający powinien umożliwić dojazd samochodem ciężarowym o długości 20m do miejsca składowania, rozładować oraz przetransportować elementy urządzeń na miejsce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 Zamawiający zobowiązany jest w zakresie zasilania elektrycznego urządzeń NK37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hydraulicznego 6kW,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od zabezpieczeń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ustalonym z dostawcą urządzeń;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elektrycznej;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Instalacji uziemiającej do każdego prawego/lewego słupa urządzenia.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 zakończeniu montażu Zamawiający powinien oznakować krawędzie zagłębienia żółto-czarnym pasem ostrzegawczym zgodnie z ISO 3864 dla oznaczenia obszaru niebezpiecznego.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36/60 miesięcznej gwarancji jakości na sprawne działanie urządzeń pod warunkiem zawarcia z dostawcą, w terminie do 5 miesięcy od badania wstępnego UDT,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bgdij0xgi6abge5cq8sfp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2026-10-27T14:04:44.881Z</dcterms:created>
  <dcterms:modified xsi:type="dcterms:W3CDTF">2026-10-27T14:04:44.881Z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