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 w:line="240"/>
      </w:pPr>
      <w:r>
        <w:rPr>
          <w:sz w:val="16"/>
          <w:szCs w:val="16"/>
          <w:rFonts w:ascii="Verdana" w:cs="Verdana" w:eastAsia="Verdana" w:hAnsi="Verdana"/>
        </w:rPr>
        <w:t xml:space="preserve">Kraków, dnia 30.10.2026r.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Szanowny Pan</w:t>
      </w:r>
    </w:p>
    <w:p>
      <w:pPr>
        <w:spacing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Jan Przykładowy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Kierownik Budowy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tel. +48 500 000 000</w:t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e-mail: </w:t>
      </w:r>
      <w:r>
        <w:rPr>
          <w:u w:val="single"/>
          <w:color w:val="0000FF"/>
          <w:sz w:val="16"/>
          <w:szCs w:val="16"/>
          <w:rFonts w:ascii="Verdana" w:cs="Verdana" w:eastAsia="Verdana" w:hAnsi="Verdana"/>
        </w:rPr>
        <w:t xml:space="preserve">jan.przykladowy@example.com</w:t>
      </w: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Przykładowy Inwestor Sp. z o.o.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ul. Testowa 1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00-001 Warszawa</w:t>
      </w:r>
    </w:p>
    <w:p>
      <w:pPr>
        <w:spacing w:after="0" w:line="240"/>
      </w:pPr>
      <w:r>
        <w:rPr>
          <w:b w:val="false"/>
          <w:bCs w:val="false"/>
          <w:sz w:val="16"/>
          <w:szCs w:val="16"/>
          <w:rFonts w:ascii="Verdana" w:cs="Verdana" w:eastAsia="Verdana" w:hAnsi="Verdana"/>
        </w:rPr>
        <w:t xml:space="preserve">NIP: 000-000-00-00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b/>
          <w:bCs/>
          <w:i/>
          <w:iCs/>
          <w:u w:val="single"/>
          <w:sz w:val="16"/>
          <w:szCs w:val="16"/>
          <w:rFonts w:ascii="Verdana" w:cs="Verdana" w:eastAsia="Verdana" w:hAnsi="Verdana"/>
        </w:rPr>
        <w:t xml:space="preserve">Oferta nr PRZYKLAD/INK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</w:pPr>
      <w:r>
        <w:rPr>
          <w:sz w:val="16"/>
          <w:szCs w:val="16"/>
          <w:rFonts w:ascii="Verdana" w:cs="Verdana" w:eastAsia="Verdana" w:hAnsi="Verdana"/>
        </w:rPr>
        <w:t xml:space="preserve">Szanowny Panie,</w:t>
      </w:r>
    </w:p>
    <w:p>
      <w:pPr>
        <w:spacing w:after="0" w:line="240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przedstawiamy naszą ofertę na dostawę i montaż 23 platform służących do zależnego parkowania 46 pojazdów w pochyleniu dla inwestycji przy ul. Leśnej 5 we Wrocławiu.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Specyfikacja oferty:</w:t>
      </w:r>
    </w:p>
    <w:p>
      <w:pPr>
        <w:spacing w:after="0" w:line="240"/>
        <w:ind w:left="284"/>
        <w:jc w:val="both"/>
      </w:pP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color w:val="3366CC"/>
          <w:sz w:val="16"/>
          <w:szCs w:val="16"/>
          <w:rFonts w:ascii="Verdana" w:cs="Verdana" w:eastAsia="Verdana" w:hAnsi="Verdana"/>
        </w:rPr>
        <w:t xml:space="preserve"> Platformy służące do zależnego parkowania pojazdów w pochyleniu </w:t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NK41</w:t>
      </w:r>
      <w:r>
        <w:rPr>
          <w:color w:val="3366CC"/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Dane techniczne: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Zagłębienie:</w:t>
      </w:r>
      <w:r>
        <w:rPr>
          <w:sz w:val="16"/>
          <w:szCs w:val="16"/>
          <w:rFonts w:ascii="Verdana" w:cs="Verdana" w:eastAsia="Verdana" w:hAnsi="Verdana"/>
        </w:rPr>
        <w:t xml:space="preserve"> brak;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prześwitu: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280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Wysokość parkowanych pojazdów*: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▲-150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▼-150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Długość parkowanych pojazdów: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▲-400</w:t>
      </w:r>
      <w:r>
        <w:rPr>
          <w:sz w:val="16"/>
          <w:szCs w:val="16"/>
          <w:rFonts w:ascii="Verdana" w:cs="Verdana" w:eastAsia="Verdana" w:hAnsi="Verdana"/>
        </w:rPr>
        <w:t xml:space="preserve">cm,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▼-400</w:t>
      </w:r>
      <w:r>
        <w:rPr>
          <w:sz w:val="16"/>
          <w:szCs w:val="16"/>
          <w:rFonts w:ascii="Verdana" w:cs="Verdana" w:eastAsia="Verdana" w:hAnsi="Verdana"/>
        </w:rPr>
        <w:t xml:space="preserve">cm;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*parametry pojazdów dopuszczonych do wjazdu w obręb urządzeń są zależne od wysokości prześwitu dostępnego na danym miejscu w garażu.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Obciążenie platformy: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2.000</w:t>
      </w:r>
      <w:r>
        <w:rPr>
          <w:sz w:val="16"/>
          <w:szCs w:val="16"/>
          <w:rFonts w:ascii="Verdana" w:cs="Verdana" w:eastAsia="Verdana" w:hAnsi="Verdana"/>
        </w:rPr>
        <w:t xml:space="preserve">kg/miejsce;</w:t>
      </w:r>
    </w:p>
    <w:p>
      <w:pPr>
        <w:spacing w:after="0" w:line="240"/>
        <w:ind w:left="284"/>
        <w:jc w:val="both"/>
      </w:pPr>
      <w:r>
        <w:rPr>
          <w:i/>
          <w:iCs/>
          <w:sz w:val="16"/>
          <w:szCs w:val="16"/>
          <w:rFonts w:ascii="Verdana" w:cs="Verdana" w:eastAsia="Verdana" w:hAnsi="Verdana"/>
        </w:rPr>
        <w:t xml:space="preserve">Zabezpieczenie antykorozyjne:</w:t>
      </w:r>
      <w:r>
        <w:rPr>
          <w:sz w:val="16"/>
          <w:szCs w:val="16"/>
          <w:rFonts w:ascii="Verdana" w:cs="Verdana" w:eastAsia="Verdana" w:hAnsi="Verdana"/>
        </w:rPr>
        <w:t xml:space="preserve"> platforma ocynkowana ogniowo, słupy i siłowniki malowane.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23 szt. –  </w:t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NK41</w:t>
      </w:r>
      <w:r>
        <w:rPr>
          <w:sz w:val="16"/>
          <w:szCs w:val="16"/>
          <w:rFonts w:ascii="Verdana" w:cs="Verdana" w:eastAsia="Verdana" w:hAnsi="Verdana"/>
        </w:rPr>
        <w:t xml:space="preserve"> szer. użytkowa miejsca postojowego 250cm, szer. zewnętrzna urządzenia 280cm;</w:t>
      </w:r>
    </w:p>
    <w:p>
      <w:pPr>
        <w:pStyle w:val="ListParagraph"/>
        <w:numPr>
          <w:ilvl w:val="0"/>
          <w:numId w:val="2"/>
        </w:numPr>
        <w:spacing w:before="40" w:after="0" w:line="240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 szt. –  </w:t>
      </w:r>
      <w:r>
        <w:rPr>
          <w:sz w:val="16"/>
          <w:szCs w:val="16"/>
          <w:rFonts w:ascii="Verdana" w:cs="Verdana" w:eastAsia="Verdana" w:hAnsi="Verdana"/>
        </w:rPr>
        <w:t xml:space="preserve">agregat</w:t>
      </w:r>
      <w:r>
        <w:rPr>
          <w:sz w:val="16"/>
          <w:szCs w:val="16"/>
          <w:rFonts w:ascii="Verdana" w:cs="Verdana" w:eastAsia="Verdana" w:hAnsi="Verdana"/>
        </w:rPr>
        <w:t xml:space="preserve"> hydrauliczny 400V, 50Hz, 3kW.</w:t>
      </w:r>
    </w:p>
    <w:p>
      <w:pPr>
        <w:tabs>
          <w:tab w:val="left" w:pos="284"/>
          <w:tab w:val="right" w:pos="9638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Wartość zamówienia netto.</w:t>
      </w:r>
      <w:r>
        <w:tab/>
      </w:r>
      <w:r>
        <w:rPr>
          <w:b/>
          <w:bCs/>
          <w:color w:val="3366CC"/>
          <w:sz w:val="16"/>
          <w:szCs w:val="16"/>
          <w:rFonts w:ascii="Verdana" w:cs="Verdana" w:eastAsia="Verdana" w:hAnsi="Verdana"/>
        </w:rPr>
        <w:t xml:space="preserve">Pozycja 1:</w:t>
      </w:r>
      <w:r>
        <w:rPr>
          <w:sz w:val="16"/>
          <w:szCs w:val="16"/>
          <w:rFonts w:ascii="Verdana" w:cs="Verdana" w:eastAsia="Verdana" w:hAnsi="Verdana"/>
        </w:rPr>
        <w:t xml:space="preserve"> </w:t>
      </w:r>
      <w:r>
        <w:rPr>
          <w:b/>
          <w:bCs/>
          <w:u w:val="single"/>
          <w:sz w:val="16"/>
          <w:szCs w:val="16"/>
          <w:rFonts w:ascii="Verdana" w:cs="Verdana" w:eastAsia="Verdana" w:hAnsi="Verdana"/>
        </w:rPr>
        <w:t xml:space="preserve">503.200,00 zł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Warunki płatności: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zaliczka płatna na 22 tygodnie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30% płatność na 7 dni przed dostawą,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90% płatność do 21 dni po dostawie,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100% płatność do 21 dni po zakończeniu montażu i pierwszym badaniu UDT.</w:t>
      </w:r>
    </w:p>
    <w:p>
      <w:pPr>
        <w:tabs>
          <w:tab w:val="right" w:pos="9638"/>
        </w:tabs>
        <w:spacing w:after="0" w:line="240"/>
        <w:ind w:left="284"/>
      </w:pPr>
      <w:r>
        <w:rPr>
          <w:sz w:val="16"/>
          <w:szCs w:val="16"/>
          <w:rFonts w:ascii="Verdana" w:cs="Verdana" w:eastAsia="Verdana" w:hAnsi="Verdana"/>
        </w:rPr>
        <w:t xml:space="preserve">Oferta ważna jest 2 miesiące.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Dostawa i montaż.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Pierwsza dostawa nastąpi nie wcześniej niż po ok. 22 tygodniach od zawarcia umowy, w zależności od aktualnie realizowanych zleceń.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Przewidywany czas montażu 4-5 tygodni od dnia dostawy, w zależności od warunków panujących na budowie.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Zakres oferty.</w:t>
      </w:r>
    </w:p>
    <w:p>
      <w:pPr>
        <w:spacing w:before="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Dostawa na plac budowy urządzeń parkingowych, montaż, rozruch i doprowadzenie do badań ruchowych poprzedzających wydanie Decyzji o Dopuszczeniu do Użytkowania wraz z kompletem dokumentów określonych przepisami UDT.</w:t>
      </w:r>
    </w:p>
    <w:p>
      <w:pPr>
        <w:spacing w:before="120" w:after="0" w:line="240"/>
        <w:ind w:left="284"/>
        <w:jc w:val="both"/>
      </w:pPr>
      <w:r>
        <w:rPr>
          <w:u w:val="single"/>
          <w:sz w:val="16"/>
          <w:szCs w:val="16"/>
          <w:rFonts w:ascii="Verdana" w:cs="Verdana" w:eastAsia="Verdana" w:hAnsi="Verdana"/>
        </w:rPr>
        <w:t xml:space="preserve">Poza ofertą pozostają:</w:t>
      </w:r>
      <w:r>
        <w:rPr>
          <w:sz w:val="16"/>
          <w:szCs w:val="16"/>
          <w:rFonts w:ascii="Verdana" w:cs="Verdana" w:eastAsia="Verdana" w:hAnsi="Verdana"/>
        </w:rPr>
        <w:t xml:space="preserve"> koszty przeprowadzenia badania przez UDT, wszelkie roboty budowlano-wykończeniowe obiektu, wykonanie barier stałych zabezpieczających dostęp pod platformy z tyłu lub z boku w przypadku braku ścian (jeśli konieczne / zgodnie z naszymi wytycznymi), wykonanie przepustów przez ściany działowe o średnicy fi 150mm dla przeprowadzenia przewodów elektrycznych i hydraulicznych (jeśli konieczne / zgodnie z naszymi wytycznymi), napraw tynkarsko-malarskich po montażu urządzeń sterowniczych oraz mocowań konstrukcyjnych, wyposażenia w instalację przeciw-pożarową, wentylacyjną, elektryczną obiektu, sygnalizacyjną, oznaczeń pionowych i poziomych organizacji ruchu na terenie parkingu.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Warunki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Wszelkie elementy konstrukcyjne garażu powinny być wykonane dokładnie i zgodnie z dokumentacją projektową oraz naszymi wytycznymi. Powierzchnie podłoży wykonane z betonu C20/25, pozostające w stanie suchym i nie pylące. Wszelkie roboty budowlane, instalacyjne i wykończeniowe oraz sprzątanie należy zakończyć przed przystąpieniem do montażu urządzeń parkingowych. Jeśli to konieczne należy wykonać przepusty przez ścianki oddzielające platformy parkingowe zgodnie z wytycznymi dostawcy urządzeń. Zamawiający powinien umożliwić dojazd samochodem ciężarowym o długości 18m do miejsca składowania, rozładować oraz przetransportować elementy urządzeń na miejsce montażu oraz zapewnić dostęp do energii elektrycznej w obrębie montażu.</w:t>
      </w:r>
    </w:p>
    <w:p>
      <w:pPr>
        <w:spacing w:before="80"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Ponadto, Zamawiający zobowiązany jest w zakresie zasilania elektrycznego urządzeń parkingowych do wykonania: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1.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Zabezpieczenia głównego zwłocznego 3x16A dla każdego agregatu 3kW, 400V, 50Hz;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2.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Zasilania do rozłącznika głównego przewodem 3Ph+N+PE 5x2.5mm2;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3.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Rozłącznika głównego blokowanego 16A 3Ph+1N – w miejscu ustalonych z dostawcą platform;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4.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przewodu 5x2,5 mm2 od rozłącznika do skrzyni sterowniczej;</w:t>
      </w:r>
    </w:p>
    <w:p>
      <w:pPr>
        <w:tabs>
          <w:tab w:val="left" w:pos="710"/>
        </w:tabs>
        <w:spacing w:after="0" w:line="240"/>
        <w:ind w:left="710" w:hanging="426"/>
      </w:pPr>
      <w:r>
        <w:rPr>
          <w:sz w:val="16"/>
          <w:szCs w:val="16"/>
          <w:rFonts w:ascii="Verdana" w:cs="Verdana" w:eastAsia="Verdana" w:hAnsi="Verdana"/>
        </w:rPr>
        <w:t xml:space="preserve">5.</w:t>
      </w:r>
      <w:r>
        <w:tab/>
      </w:r>
      <w:r>
        <w:rPr>
          <w:sz w:val="16"/>
          <w:szCs w:val="16"/>
          <w:rFonts w:ascii="Verdana" w:cs="Verdana" w:eastAsia="Verdana" w:hAnsi="Verdana"/>
        </w:rPr>
        <w:t xml:space="preserve">Doprowadzenia instalacji uziemiającej do każdego prawego/lewego słupa urządzenia.</w:t>
      </w:r>
    </w:p>
    <w:p>
      <w:pPr>
        <w:keepNext/>
        <w:tabs>
          <w:tab w:val="left" w:pos="284"/>
        </w:tabs>
        <w:spacing w:before="200" w:after="20" w:line="240"/>
        <w:ind w:left="284" w:hanging="284"/>
      </w:pPr>
      <w:r>
        <w:rPr>
          <w:b/>
          <w:bCs/>
          <w:sz w:val="16"/>
          <w:szCs w:val="16"/>
          <w:rFonts w:ascii="Verdana" w:cs="Verdana" w:eastAsia="Verdana" w:hAnsi="Verdana"/>
        </w:rPr>
        <w:t xml:space="preserve">6.</w:t>
      </w:r>
      <w:r>
        <w:tab/>
      </w:r>
      <w:r>
        <w:rPr>
          <w:b/>
          <w:bCs/>
          <w:sz w:val="16"/>
          <w:szCs w:val="16"/>
          <w:rFonts w:ascii="Verdana" w:cs="Verdana" w:eastAsia="Verdana" w:hAnsi="Verdana"/>
        </w:rPr>
        <w:t xml:space="preserve">Gwarancja.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Producent udziela 60 miesięcznej gwarancji jakości na sprawne działanie urządzeń pod warunkiem podpisania z dostawcą umowy konserwacyjno-serwisowej umożliwiającej nam stałą opiekę oraz nadzór nad stanem technicznym platform. W ramach umowy serwisowej dokonywane są 2 przeglądy serwisowe w ciągu roku.</w:t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Gwarancja nie obejmuje zużycia części eksploatacyjnych, uszkodzeń wynikających z eksploatacji niezgodnej z instrukcją użytkowania, agresywnego środowiska, zbyt dużej wilgotności, uszkodzeń powstałych w wyniku zdarzeń losowych (np. pożar, zalanie). Po upływie okresu gwarancji świadczymy serwis pogwarancyjny.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284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Wyrażamy przekonanie iż przedstawiona oferta zyska Państwa aprobatę i przyczyni się do dalszej owocnej współpracy.</w:t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8"/>
        <w:jc w:val="both"/>
      </w:pPr>
      <w:r>
        <w:rPr>
          <w:sz w:val="16"/>
          <w:szCs w:val="16"/>
          <w:rFonts w:ascii="Verdana" w:cs="Verdana" w:eastAsia="Verdana" w:hAnsi="Verdana"/>
        </w:rPr>
        <w:t xml:space="preserve">Z poważaniem,</w:t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 w:before="0"/>
      </w:pPr>
      <w:r>
        <w:rPr>
          <w:sz w:val="16"/>
          <w:szCs w:val="16"/>
          <w:rFonts w:ascii="Verdana" w:cs="Verdana" w:eastAsia="Verdana" w:hAnsi="Verdana"/>
        </w:rPr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arch. Iwo Nowina Konopka</w:t>
      </w:r>
    </w:p>
    <w:p>
      <w:pPr>
        <w:spacing w:after="0" w:line="240"/>
        <w:ind w:left="567"/>
        <w:jc w:val="left"/>
      </w:pPr>
      <w:r>
        <w:rPr>
          <w:sz w:val="16"/>
          <w:szCs w:val="16"/>
          <w:rFonts w:ascii="Verdana" w:cs="Verdana" w:eastAsia="Verdana" w:hAnsi="Verdana"/>
        </w:rPr>
        <w:t xml:space="preserve">Prezes Zarządu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418" w:right="1134" w:bottom="1418" w:left="1134" w:header="425" w:footer="425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 w:line="240"/>
      <w:jc w:val="both"/>
    </w:pPr>
    <w:r>
      <w:rPr>
        <w:color w:val="444444"/>
        <w:sz w:val="12"/>
        <w:szCs w:val="12"/>
        <w:rFonts w:ascii="Verdana" w:cs="Verdana" w:eastAsia="Verdana" w:hAnsi="Verdana"/>
      </w:rPr>
      <w:t xml:space="preserve">Klauzula poufności. Klient zobowiązuje się do zachowania najwyższej poufności względem zawartości i przedmiotu niniejszej oferty i załączonej dokumentacji. Zobowiązuje się również do nie rozpowszechniania jej treści ani do nie używania jej w celach innych niż ocena tej oferty.</w:t>
    </w:r>
  </w:p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4"/>
      </w:pBd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PSP NowinaKonopka Technologies Sp. z o.o. S.K.</w:t>
    </w:r>
  </w:p>
  <w:p>
    <w:pPr>
      <w:spacing w:after="0" w:line="240"/>
      <w:jc w:val="center"/>
    </w:pPr>
    <w:r>
      <w:rPr>
        <w:sz w:val="20"/>
        <w:szCs w:val="20"/>
        <w:rFonts w:ascii="Century Gothic" w:cs="Century Gothic" w:eastAsia="Century Gothic" w:hAnsi="Century Gothic"/>
      </w:rPr>
      <w:t xml:space="preserve">31-123 Kraków, ul. Krupnicza 6, NIP: PL-676-248-01-77</w:t>
    </w:r>
  </w:p>
  <w:p>
    <w:pPr>
      <w:spacing w:after="0" w:line="240"/>
      <w:jc w:val="center"/>
    </w:pP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biuro@nowinakonopka.com</w:t>
    </w:r>
    <w:r>
      <w:rPr>
        <w:color w:val="000000"/>
        <w:sz w:val="18"/>
        <w:szCs w:val="18"/>
        <w:rFonts w:ascii="Century Gothic" w:cs="Century Gothic" w:eastAsia="Century Gothic" w:hAnsi="Century Gothic"/>
      </w:rPr>
      <w:t xml:space="preserve">    </w:t>
    </w:r>
    <w:r>
      <w:rPr>
        <w:u w:val="single"/>
        <w:color w:val="0000FF"/>
        <w:sz w:val="16"/>
        <w:szCs w:val="16"/>
        <w:rFonts w:ascii="Century Gothic" w:cs="Century Gothic" w:eastAsia="Century Gothic" w:hAnsi="Century Gothic"/>
      </w:rPr>
      <w:t xml:space="preserve">http://www.nowinakonopka.com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line="240"/>
          </w:pPr>
          <w:r>
            <w:rPr>
              <w:sz w:val="16"/>
              <w:szCs w:val="16"/>
              <w:rFonts w:ascii="Verdana" w:cs="Verdana" w:eastAsia="Verdana" w:hAnsi="Verdana"/>
            </w:rPr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3600"/>
      <w:gridCol w:w="5400"/>
      <w:gridCol w:w="638"/>
    </w:tblGrid>
    <w:tr>
      <w:tc>
        <w:tcPr>
          <w:tcW w:type="dxa" w:w="3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</w:tcPr>
        <w:p>
          <w:r>
            <w:drawing>
              <wp:inline distT="0" distB="0" distL="0" distR="0">
                <wp:extent cx="2209800" cy="5524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09800" cy="5524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PLATFORMOWE SYSTEMY PARKINGOWE</w:t>
          </w:r>
        </w:p>
        <w:p>
          <w:pPr>
            <w:spacing w:after="0" w:line="240"/>
            <w:jc w:val="center"/>
          </w:pPr>
          <w:r>
            <w:rPr>
              <w:b/>
              <w:bCs/>
              <w:color w:val="000000"/>
              <w:sz w:val="18"/>
              <w:szCs w:val="18"/>
              <w:rFonts w:ascii="Times New Roman" w:cs="Times New Roman" w:eastAsia="Times New Roman" w:hAnsi="Times New Roman"/>
            </w:rPr>
            <w:t xml:space="preserve">PSP NOWINAKONOPKA TECHNOLOGIES SP. Z O.O. S.K.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31-123 Kraków, ul. Krupnicza 6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+48 12 4212735</w:t>
          </w:r>
        </w:p>
        <w:p>
          <w:pPr>
            <w:spacing w:after="0" w:line="240"/>
            <w:jc w:val="center"/>
          </w:pPr>
          <w:r>
            <w:rPr>
              <w:b w:val="false"/>
              <w:bCs w:val="false"/>
              <w:color w:val="444444"/>
              <w:sz w:val="17"/>
              <w:szCs w:val="17"/>
              <w:rFonts w:ascii="Century Gothic" w:cs="Century Gothic" w:eastAsia="Century Gothic" w:hAnsi="Century Gothic"/>
            </w:rPr>
            <w:t xml:space="preserve">tel. 601 289 709</w:t>
          </w:r>
        </w:p>
      </w:tc>
      <w:tc>
        <w:tcPr>
          <w:tcW w:type="dxa" w:w="63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top"/>
        </w:tcPr>
        <w:p>
          <w:pPr>
            <w:shd w:fill="9DBCE3" w:color="auto" w:val="clear"/>
            <w:spacing w:after="0" w:line="240"/>
            <w:jc w:val="center"/>
          </w:pPr>
          <w:r>
            <w:rPr>
              <w:b/>
              <w:bCs/>
              <w:color w:val="FFFFFF"/>
              <w:sz w:val="20"/>
              <w:szCs w:val="20"/>
              <w:rFonts w:ascii="Book Antiqua" w:cs="Book Antiqua" w:eastAsia="Book Antiqua" w:hAnsi="Book Antiqua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  <w:p>
    <w:pPr>
      <w:spacing w:after="0" w:line="240"/>
    </w:pPr>
    <w:r>
      <w:rPr>
        <w:sz w:val="16"/>
        <w:szCs w:val="16"/>
        <w:rFonts w:ascii="Verdana" w:cs="Verdana" w:eastAsia="Verdana" w:hAnsi="Verdan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09" w:hanging="284"/>
      </w:pPr>
      <w:rPr>
        <w:color w:val="3366CC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16"/>
        <w:szCs w:val="16"/>
        <w:rFonts w:ascii="Verdana" w:cs="Verdana" w:eastAsia="Verdana" w:hAnsi="Verdan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osc_ukdqxluxnihwy7-u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Kalkulator NK38</dc:creator>
  <cp:lastModifiedBy>Un-named</cp:lastModifiedBy>
  <cp:revision>1</cp:revision>
  <dcterms:created xsi:type="dcterms:W3CDTF">2026-10-30T12:42:34.143Z</dcterms:created>
  <dcterms:modified xsi:type="dcterms:W3CDTF">2026-10-30T12:42:34.143Z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