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40"/>
      </w:pPr>
      <w:r>
        <w:rPr>
          <w:sz w:val="16"/>
          <w:szCs w:val="16"/>
          <w:rFonts w:ascii="Verdana" w:cs="Verdana" w:eastAsia="Verdana" w:hAnsi="Verdana"/>
        </w:rPr>
        <w:t xml:space="preserve">Kraków, dnia 30.10.2026r.</w:t>
      </w:r>
    </w:p>
    <w:p>
      <w:pPr>
        <w:spacing w:after="0" w:line="240" w:before="0"/>
      </w:pPr>
      <w:r>
        <w:rPr>
          <w:sz w:val="16"/>
          <w:szCs w:val="16"/>
          <w:rFonts w:ascii="Verdana" w:cs="Verdana" w:eastAsia="Verdana" w:hAnsi="Verdana"/>
        </w:rPr>
      </w:r>
    </w:p>
    <w:p>
      <w:pPr>
        <w:spacing w:after="0" w:line="240" w:before="0"/>
      </w:pPr>
      <w:r>
        <w:rPr>
          <w:sz w:val="16"/>
          <w:szCs w:val="16"/>
          <w:rFonts w:ascii="Verdana" w:cs="Verdana" w:eastAsia="Verdana" w:hAnsi="Verdana"/>
        </w:rPr>
      </w:r>
    </w:p>
    <w:p>
      <w:pPr>
        <w:spacing w:after="0" w:line="240"/>
      </w:pPr>
      <w:r>
        <w:rPr>
          <w:b w:val="false"/>
          <w:bCs w:val="false"/>
          <w:sz w:val="16"/>
          <w:szCs w:val="16"/>
          <w:rFonts w:ascii="Verdana" w:cs="Verdana" w:eastAsia="Verdana" w:hAnsi="Verdana"/>
        </w:rPr>
        <w:t xml:space="preserve">Szanowny Pan</w:t>
      </w:r>
    </w:p>
    <w:p>
      <w:pPr>
        <w:spacing w:after="0" w:line="240"/>
      </w:pPr>
      <w:r>
        <w:rPr>
          <w:b/>
          <w:bCs/>
          <w:sz w:val="16"/>
          <w:szCs w:val="16"/>
          <w:rFonts w:ascii="Verdana" w:cs="Verdana" w:eastAsia="Verdana" w:hAnsi="Verdana"/>
        </w:rPr>
        <w:t xml:space="preserve">Jan Przykładowy</w:t>
      </w:r>
    </w:p>
    <w:p>
      <w:pPr>
        <w:spacing w:after="0" w:line="240"/>
      </w:pPr>
      <w:r>
        <w:rPr>
          <w:b w:val="false"/>
          <w:bCs w:val="false"/>
          <w:sz w:val="16"/>
          <w:szCs w:val="16"/>
          <w:rFonts w:ascii="Verdana" w:cs="Verdana" w:eastAsia="Verdana" w:hAnsi="Verdana"/>
        </w:rPr>
        <w:t xml:space="preserve">Kierownik Budowy</w:t>
      </w:r>
    </w:p>
    <w:p>
      <w:pPr>
        <w:spacing w:after="0" w:line="240"/>
      </w:pPr>
      <w:r>
        <w:rPr>
          <w:b w:val="false"/>
          <w:bCs w:val="false"/>
          <w:sz w:val="16"/>
          <w:szCs w:val="16"/>
          <w:rFonts w:ascii="Verdana" w:cs="Verdana" w:eastAsia="Verdana" w:hAnsi="Verdana"/>
        </w:rPr>
        <w:t xml:space="preserve">tel. +48 500 000 000</w:t>
      </w:r>
    </w:p>
    <w:p>
      <w:pPr>
        <w:spacing w:after="0" w:line="240"/>
      </w:pPr>
      <w:r>
        <w:rPr>
          <w:sz w:val="16"/>
          <w:szCs w:val="16"/>
          <w:rFonts w:ascii="Verdana" w:cs="Verdana" w:eastAsia="Verdana" w:hAnsi="Verdana"/>
        </w:rPr>
        <w:t xml:space="preserve">e-mail: </w:t>
      </w:r>
      <w:r>
        <w:rPr>
          <w:u w:val="single"/>
          <w:color w:val="0000FF"/>
          <w:sz w:val="16"/>
          <w:szCs w:val="16"/>
          <w:rFonts w:ascii="Verdana" w:cs="Verdana" w:eastAsia="Verdana" w:hAnsi="Verdana"/>
        </w:rPr>
        <w:t xml:space="preserve">jan.przykladowy@example.com</w:t>
      </w:r>
      <w:r>
        <w:rPr>
          <w:sz w:val="16"/>
          <w:szCs w:val="16"/>
          <w:rFonts w:ascii="Verdana" w:cs="Verdana" w:eastAsia="Verdana" w:hAnsi="Verdana"/>
        </w:rPr>
      </w:r>
    </w:p>
    <w:p>
      <w:pPr>
        <w:spacing w:after="0" w:line="240" w:before="0"/>
      </w:pPr>
      <w:r>
        <w:rPr>
          <w:sz w:val="16"/>
          <w:szCs w:val="16"/>
          <w:rFonts w:ascii="Verdana" w:cs="Verdana" w:eastAsia="Verdana" w:hAnsi="Verdana"/>
        </w:rPr>
      </w:r>
    </w:p>
    <w:p>
      <w:pPr>
        <w:spacing w:after="0" w:line="240"/>
      </w:pPr>
      <w:r>
        <w:rPr>
          <w:b/>
          <w:bCs/>
          <w:u w:val="single"/>
          <w:sz w:val="16"/>
          <w:szCs w:val="16"/>
          <w:rFonts w:ascii="Verdana" w:cs="Verdana" w:eastAsia="Verdana" w:hAnsi="Verdana"/>
        </w:rPr>
        <w:t xml:space="preserve">Przykładowy Inwestor Sp. z o.o.</w:t>
      </w:r>
    </w:p>
    <w:p>
      <w:pPr>
        <w:spacing w:after="0" w:line="240"/>
      </w:pPr>
      <w:r>
        <w:rPr>
          <w:b w:val="false"/>
          <w:bCs w:val="false"/>
          <w:sz w:val="16"/>
          <w:szCs w:val="16"/>
          <w:rFonts w:ascii="Verdana" w:cs="Verdana" w:eastAsia="Verdana" w:hAnsi="Verdana"/>
        </w:rPr>
        <w:t xml:space="preserve">ul. Testowa 1</w:t>
      </w:r>
    </w:p>
    <w:p>
      <w:pPr>
        <w:spacing w:after="0" w:line="240"/>
      </w:pPr>
      <w:r>
        <w:rPr>
          <w:b w:val="false"/>
          <w:bCs w:val="false"/>
          <w:sz w:val="16"/>
          <w:szCs w:val="16"/>
          <w:rFonts w:ascii="Verdana" w:cs="Verdana" w:eastAsia="Verdana" w:hAnsi="Verdana"/>
        </w:rPr>
        <w:t xml:space="preserve">00-001 Warszawa</w:t>
      </w:r>
    </w:p>
    <w:p>
      <w:pPr>
        <w:spacing w:after="0" w:line="240"/>
      </w:pPr>
      <w:r>
        <w:rPr>
          <w:b w:val="false"/>
          <w:bCs w:val="false"/>
          <w:sz w:val="16"/>
          <w:szCs w:val="16"/>
          <w:rFonts w:ascii="Verdana" w:cs="Verdana" w:eastAsia="Verdana" w:hAnsi="Verdana"/>
        </w:rPr>
        <w:t xml:space="preserve">NIP: 000-000-00-00</w:t>
      </w:r>
    </w:p>
    <w:p>
      <w:pPr>
        <w:spacing w:after="0" w:line="240" w:before="0"/>
      </w:pPr>
      <w:r>
        <w:rPr>
          <w:sz w:val="16"/>
          <w:szCs w:val="16"/>
          <w:rFonts w:ascii="Verdana" w:cs="Verdana" w:eastAsia="Verdana" w:hAnsi="Verdana"/>
        </w:rPr>
      </w:r>
    </w:p>
    <w:p>
      <w:pPr>
        <w:spacing w:after="0" w:line="240" w:before="0"/>
      </w:pPr>
      <w:r>
        <w:rPr>
          <w:sz w:val="16"/>
          <w:szCs w:val="16"/>
          <w:rFonts w:ascii="Verdana" w:cs="Verdana" w:eastAsia="Verdana" w:hAnsi="Verdana"/>
        </w:rPr>
      </w:r>
    </w:p>
    <w:p>
      <w:pPr>
        <w:spacing w:after="0" w:line="240"/>
      </w:pPr>
      <w:r>
        <w:rPr>
          <w:b/>
          <w:bCs/>
          <w:i/>
          <w:iCs/>
          <w:u w:val="single"/>
          <w:sz w:val="16"/>
          <w:szCs w:val="16"/>
          <w:rFonts w:ascii="Verdana" w:cs="Verdana" w:eastAsia="Verdana" w:hAnsi="Verdana"/>
        </w:rPr>
        <w:t xml:space="preserve">Oferta nr PRZYKLAD/INK</w:t>
      </w:r>
    </w:p>
    <w:p>
      <w:pPr>
        <w:spacing w:after="0" w:line="240" w:before="0"/>
      </w:pPr>
      <w:r>
        <w:rPr>
          <w:sz w:val="16"/>
          <w:szCs w:val="16"/>
          <w:rFonts w:ascii="Verdana" w:cs="Verdana" w:eastAsia="Verdana" w:hAnsi="Verdana"/>
        </w:rPr>
      </w:r>
    </w:p>
    <w:p>
      <w:pPr>
        <w:spacing w:after="0" w:line="240"/>
      </w:pPr>
      <w:r>
        <w:rPr>
          <w:sz w:val="16"/>
          <w:szCs w:val="16"/>
          <w:rFonts w:ascii="Verdana" w:cs="Verdana" w:eastAsia="Verdana" w:hAnsi="Verdana"/>
        </w:rPr>
        <w:t xml:space="preserve">Szanowny Panie,</w:t>
      </w:r>
    </w:p>
    <w:p>
      <w:pPr>
        <w:spacing w:after="0" w:line="240"/>
        <w:jc w:val="both"/>
      </w:pPr>
      <w:r>
        <w:rPr>
          <w:sz w:val="16"/>
          <w:szCs w:val="16"/>
          <w:rFonts w:ascii="Verdana" w:cs="Verdana" w:eastAsia="Verdana" w:hAnsi="Verdana"/>
        </w:rPr>
        <w:t xml:space="preserve">w odpowiedzi na Państwa zapytanie przedstawiamy naszą ofertę na dostawę i montaż 6 palet poprzecznie przesuwnych NK6501 ze sterowaniem na inwestycję zlokalizowaną przy ul. Ogrodowej 8 w Warszawie.</w:t>
      </w:r>
    </w:p>
    <w:p>
      <w:pPr>
        <w:spacing w:after="0" w:line="240"/>
        <w:jc w:val="both"/>
      </w:pPr>
      <w:r>
        <w:rPr>
          <w:sz w:val="16"/>
          <w:szCs w:val="16"/>
          <w:rFonts w:ascii="Verdana" w:cs="Verdana" w:eastAsia="Verdana" w:hAnsi="Verdana"/>
        </w:rPr>
        <w:t xml:space="preserve">Zastosowanie palet przesuwnych wymaga zachowania zasad projektowania odwodnienia garażu dla tego typu zastosowań ponieważ torowiska, po których poruszają się palety, nie mogą przebiegać przez załamania spadków posadzki. Musi być zachowana równość posadzki, po której poruszać będą się palety.</w:t>
      </w:r>
    </w:p>
    <w:p>
      <w:pPr>
        <w:spacing w:after="0" w:line="240" w:before="0"/>
      </w:pPr>
      <w:r>
        <w:rPr>
          <w:sz w:val="16"/>
          <w:szCs w:val="16"/>
          <w:rFonts w:ascii="Verdana" w:cs="Verdana" w:eastAsia="Verdana" w:hAnsi="Verdana"/>
        </w:rPr>
      </w:r>
    </w:p>
    <w:p>
      <w:pPr>
        <w:keepNext/>
        <w:tabs>
          <w:tab w:val="left" w:pos="284"/>
        </w:tabs>
        <w:spacing w:before="200" w:after="20" w:line="240"/>
        <w:ind w:left="284" w:hanging="284"/>
      </w:pPr>
      <w:r>
        <w:rPr>
          <w:b/>
          <w:bCs/>
          <w:sz w:val="16"/>
          <w:szCs w:val="16"/>
          <w:rFonts w:ascii="Verdana" w:cs="Verdana" w:eastAsia="Verdana" w:hAnsi="Verdana"/>
        </w:rPr>
        <w:t xml:space="preserve">1.</w:t>
      </w:r>
      <w:r>
        <w:tab/>
      </w:r>
      <w:r>
        <w:rPr>
          <w:b/>
          <w:bCs/>
          <w:sz w:val="16"/>
          <w:szCs w:val="16"/>
          <w:rFonts w:ascii="Verdana" w:cs="Verdana" w:eastAsia="Verdana" w:hAnsi="Verdana"/>
        </w:rPr>
        <w:t xml:space="preserve">Specyfikacja oferty:</w:t>
      </w:r>
    </w:p>
    <w:p>
      <w:pPr>
        <w:spacing w:after="0" w:line="240"/>
        <w:ind w:left="284"/>
        <w:jc w:val="both"/>
      </w:pPr>
      <w:r>
        <w:rPr>
          <w:b/>
          <w:bCs/>
          <w:color w:val="3366CC"/>
          <w:sz w:val="16"/>
          <w:szCs w:val="16"/>
          <w:rFonts w:ascii="Verdana" w:cs="Verdana" w:eastAsia="Verdana" w:hAnsi="Verdana"/>
        </w:rPr>
        <w:t xml:space="preserve">Pozycja 1:</w:t>
      </w:r>
      <w:r>
        <w:rPr>
          <w:color w:val="3366CC"/>
          <w:sz w:val="16"/>
          <w:szCs w:val="16"/>
          <w:rFonts w:ascii="Verdana" w:cs="Verdana" w:eastAsia="Verdana" w:hAnsi="Verdana"/>
        </w:rPr>
        <w:t xml:space="preserve"> sprzedaż - Paleta poprzecznie przesuwna </w:t>
      </w:r>
      <w:r>
        <w:rPr>
          <w:b/>
          <w:bCs/>
          <w:color w:val="3366CC"/>
          <w:sz w:val="16"/>
          <w:szCs w:val="16"/>
          <w:rFonts w:ascii="Verdana" w:cs="Verdana" w:eastAsia="Verdana" w:hAnsi="Verdana"/>
        </w:rPr>
        <w:t xml:space="preserve">NK6501</w:t>
      </w:r>
      <w:r>
        <w:rPr>
          <w:color w:val="3366CC"/>
          <w:sz w:val="16"/>
          <w:szCs w:val="16"/>
          <w:rFonts w:ascii="Verdana" w:cs="Verdana" w:eastAsia="Verdana" w:hAnsi="Verdana"/>
        </w:rPr>
        <w:t xml:space="preserve"> do niezależnego parkowania pojazdów.</w:t>
      </w:r>
    </w:p>
    <w:p>
      <w:pPr>
        <w:spacing w:after="0" w:line="240"/>
        <w:ind w:left="284"/>
        <w:jc w:val="both"/>
      </w:pPr>
      <w:r>
        <w:rPr>
          <w:u w:val="single"/>
          <w:sz w:val="16"/>
          <w:szCs w:val="16"/>
          <w:rFonts w:ascii="Verdana" w:cs="Verdana" w:eastAsia="Verdana" w:hAnsi="Verdana"/>
        </w:rPr>
        <w:t xml:space="preserve">Dane techniczne:</w:t>
      </w:r>
    </w:p>
    <w:p>
      <w:pPr>
        <w:spacing w:after="0" w:line="240"/>
        <w:ind w:left="284"/>
        <w:jc w:val="both"/>
      </w:pPr>
      <w:r>
        <w:rPr>
          <w:i/>
          <w:iCs/>
          <w:sz w:val="16"/>
          <w:szCs w:val="16"/>
          <w:rFonts w:ascii="Verdana" w:cs="Verdana" w:eastAsia="Verdana" w:hAnsi="Verdana"/>
        </w:rPr>
        <w:t xml:space="preserve">Zagłębienie:</w:t>
      </w:r>
      <w:r>
        <w:rPr>
          <w:sz w:val="16"/>
          <w:szCs w:val="16"/>
          <w:rFonts w:ascii="Verdana" w:cs="Verdana" w:eastAsia="Verdana" w:hAnsi="Verdana"/>
        </w:rPr>
        <w:t xml:space="preserve"> brak,</w:t>
      </w:r>
    </w:p>
    <w:p>
      <w:pPr>
        <w:spacing w:after="0" w:line="240"/>
        <w:ind w:left="284"/>
        <w:jc w:val="both"/>
      </w:pPr>
      <w:r>
        <w:rPr>
          <w:i/>
          <w:iCs/>
          <w:sz w:val="16"/>
          <w:szCs w:val="16"/>
          <w:rFonts w:ascii="Verdana" w:cs="Verdana" w:eastAsia="Verdana" w:hAnsi="Verdana"/>
        </w:rPr>
        <w:t xml:space="preserve">Prześwit między-kondygnacyjny:</w:t>
      </w:r>
      <w:r>
        <w:rPr>
          <w:sz w:val="16"/>
          <w:szCs w:val="16"/>
          <w:rFonts w:ascii="Verdana" w:cs="Verdana" w:eastAsia="Verdana" w:hAnsi="Verdana"/>
        </w:rPr>
        <w:t xml:space="preserve"> min. </w:t>
      </w:r>
      <w:r>
        <w:rPr>
          <w:b/>
          <w:bCs/>
          <w:sz w:val="16"/>
          <w:szCs w:val="16"/>
          <w:rFonts w:ascii="Verdana" w:cs="Verdana" w:eastAsia="Verdana" w:hAnsi="Verdana"/>
        </w:rPr>
        <w:t xml:space="preserve">215</w:t>
      </w:r>
      <w:r>
        <w:rPr>
          <w:sz w:val="16"/>
          <w:szCs w:val="16"/>
          <w:rFonts w:ascii="Verdana" w:cs="Verdana" w:eastAsia="Verdana" w:hAnsi="Verdana"/>
        </w:rPr>
        <w:t xml:space="preserve">cm,</w:t>
      </w:r>
    </w:p>
    <w:p>
      <w:pPr>
        <w:spacing w:after="0" w:line="240"/>
        <w:ind w:left="284"/>
        <w:jc w:val="both"/>
      </w:pPr>
      <w:r>
        <w:rPr>
          <w:i/>
          <w:iCs/>
          <w:sz w:val="16"/>
          <w:szCs w:val="16"/>
          <w:rFonts w:ascii="Verdana" w:cs="Verdana" w:eastAsia="Verdana" w:hAnsi="Verdana"/>
        </w:rPr>
        <w:t xml:space="preserve">Wysokość parkowanych pojazdów*:</w:t>
      </w:r>
      <w:r>
        <w:rPr>
          <w:sz w:val="16"/>
          <w:szCs w:val="16"/>
          <w:rFonts w:ascii="Verdana" w:cs="Verdana" w:eastAsia="Verdana" w:hAnsi="Verdana"/>
        </w:rPr>
        <w:t xml:space="preserve"> </w:t>
      </w:r>
      <w:r>
        <w:rPr>
          <w:b/>
          <w:bCs/>
          <w:sz w:val="16"/>
          <w:szCs w:val="16"/>
          <w:rFonts w:ascii="Verdana" w:cs="Verdana" w:eastAsia="Verdana" w:hAnsi="Verdana"/>
        </w:rPr>
        <w:t xml:space="preserve">▲-200</w:t>
      </w:r>
      <w:r>
        <w:rPr>
          <w:sz w:val="16"/>
          <w:szCs w:val="16"/>
          <w:rFonts w:ascii="Verdana" w:cs="Verdana" w:eastAsia="Verdana" w:hAnsi="Verdana"/>
        </w:rPr>
        <w:t xml:space="preserve">cm,</w:t>
      </w:r>
    </w:p>
    <w:p>
      <w:pPr>
        <w:spacing w:after="0" w:line="240"/>
        <w:ind w:left="284"/>
        <w:jc w:val="both"/>
      </w:pPr>
      <w:r>
        <w:rPr>
          <w:i/>
          <w:iCs/>
          <w:sz w:val="16"/>
          <w:szCs w:val="16"/>
          <w:rFonts w:ascii="Verdana" w:cs="Verdana" w:eastAsia="Verdana" w:hAnsi="Verdana"/>
        </w:rPr>
        <w:t xml:space="preserve">*w zależności od zastanej wysokości hali garażowej pomieścimy pojazdy w podanych granicach lub wyższych jeśli prześwit będzie na to pozwalał.</w:t>
      </w:r>
    </w:p>
    <w:p>
      <w:pPr>
        <w:spacing w:after="0" w:line="240"/>
        <w:ind w:left="284"/>
        <w:jc w:val="both"/>
      </w:pPr>
      <w:r>
        <w:rPr>
          <w:i/>
          <w:iCs/>
          <w:sz w:val="16"/>
          <w:szCs w:val="16"/>
          <w:rFonts w:ascii="Verdana" w:cs="Verdana" w:eastAsia="Verdana" w:hAnsi="Verdana"/>
        </w:rPr>
        <w:t xml:space="preserve">Obciążenie palety pojazdem:</w:t>
      </w:r>
      <w:r>
        <w:rPr>
          <w:sz w:val="16"/>
          <w:szCs w:val="16"/>
          <w:rFonts w:ascii="Verdana" w:cs="Verdana" w:eastAsia="Verdana" w:hAnsi="Verdana"/>
        </w:rPr>
        <w:t xml:space="preserve"> </w:t>
      </w:r>
      <w:r>
        <w:rPr>
          <w:b/>
          <w:bCs/>
          <w:sz w:val="16"/>
          <w:szCs w:val="16"/>
          <w:rFonts w:ascii="Verdana" w:cs="Verdana" w:eastAsia="Verdana" w:hAnsi="Verdana"/>
        </w:rPr>
        <w:t xml:space="preserve">2000</w:t>
      </w:r>
      <w:r>
        <w:rPr>
          <w:sz w:val="16"/>
          <w:szCs w:val="16"/>
          <w:rFonts w:ascii="Verdana" w:cs="Verdana" w:eastAsia="Verdana" w:hAnsi="Verdana"/>
        </w:rPr>
        <w:t xml:space="preserve">kg/miejsce postojowe,</w:t>
      </w:r>
    </w:p>
    <w:p>
      <w:pPr>
        <w:spacing w:after="0" w:line="240"/>
        <w:ind w:left="284"/>
        <w:jc w:val="both"/>
      </w:pPr>
      <w:r>
        <w:rPr>
          <w:i/>
          <w:iCs/>
          <w:sz w:val="16"/>
          <w:szCs w:val="16"/>
          <w:rFonts w:ascii="Verdana" w:cs="Verdana" w:eastAsia="Verdana" w:hAnsi="Verdana"/>
        </w:rPr>
        <w:t xml:space="preserve">Zabezpieczenie antykorozyjne:</w:t>
      </w:r>
      <w:r>
        <w:rPr>
          <w:sz w:val="16"/>
          <w:szCs w:val="16"/>
          <w:rFonts w:ascii="Verdana" w:cs="Verdana" w:eastAsia="Verdana" w:hAnsi="Verdana"/>
        </w:rPr>
        <w:t xml:space="preserve"> urządzenie w całości ocynkowane ogniowo.</w:t>
      </w:r>
    </w:p>
    <w:p>
      <w:pPr>
        <w:pStyle w:val="ListParagraph"/>
        <w:numPr>
          <w:ilvl w:val="0"/>
          <w:numId w:val="2"/>
        </w:numPr>
        <w:spacing w:before="40" w:after="0" w:line="240"/>
      </w:pPr>
      <w:r>
        <w:rPr>
          <w:sz w:val="16"/>
          <w:szCs w:val="16"/>
          <w:rFonts w:ascii="Verdana" w:cs="Verdana" w:eastAsia="Verdana" w:hAnsi="Verdana"/>
        </w:rPr>
        <w:t xml:space="preserve">6 szt. - Paleta poprzecznie przesuwna NK6501-210cm, zaopatrzona w silnik 400V, 50Hz, 0,25kW, wyposażona w kluczykowy panel sterowania zamontowany na słupie/ścianie przed urządzeniem.</w:t>
      </w:r>
    </w:p>
    <w:p>
      <w:pPr>
        <w:tabs>
          <w:tab w:val="left" w:pos="284"/>
          <w:tab w:val="right" w:pos="9638"/>
        </w:tabs>
        <w:spacing w:before="200" w:after="20" w:line="240"/>
        <w:ind w:left="284" w:hanging="284"/>
      </w:pPr>
      <w:r>
        <w:rPr>
          <w:b/>
          <w:bCs/>
          <w:sz w:val="16"/>
          <w:szCs w:val="16"/>
          <w:rFonts w:ascii="Verdana" w:cs="Verdana" w:eastAsia="Verdana" w:hAnsi="Verdana"/>
        </w:rPr>
        <w:t xml:space="preserve">2.</w:t>
      </w:r>
      <w:r>
        <w:tab/>
      </w:r>
      <w:r>
        <w:rPr>
          <w:b/>
          <w:bCs/>
          <w:sz w:val="16"/>
          <w:szCs w:val="16"/>
          <w:rFonts w:ascii="Verdana" w:cs="Verdana" w:eastAsia="Verdana" w:hAnsi="Verdana"/>
        </w:rPr>
        <w:t xml:space="preserve">Wartość zamówienia netto.</w:t>
      </w:r>
      <w:r>
        <w:tab/>
      </w:r>
      <w:r>
        <w:rPr>
          <w:b/>
          <w:bCs/>
          <w:color w:val="3366CC"/>
          <w:sz w:val="16"/>
          <w:szCs w:val="16"/>
          <w:rFonts w:ascii="Verdana" w:cs="Verdana" w:eastAsia="Verdana" w:hAnsi="Verdana"/>
        </w:rPr>
        <w:t xml:space="preserve">Pozycja 1:</w:t>
      </w:r>
      <w:r>
        <w:rPr>
          <w:sz w:val="16"/>
          <w:szCs w:val="16"/>
          <w:rFonts w:ascii="Verdana" w:cs="Verdana" w:eastAsia="Verdana" w:hAnsi="Verdana"/>
        </w:rPr>
        <w:t xml:space="preserve"> </w:t>
      </w:r>
      <w:r>
        <w:rPr>
          <w:b/>
          <w:bCs/>
          <w:u w:val="single"/>
          <w:sz w:val="16"/>
          <w:szCs w:val="16"/>
          <w:rFonts w:ascii="Verdana" w:cs="Verdana" w:eastAsia="Verdana" w:hAnsi="Verdana"/>
        </w:rPr>
        <w:t xml:space="preserve">143.800,00 zł</w:t>
      </w:r>
    </w:p>
    <w:p>
      <w:pPr>
        <w:tabs>
          <w:tab w:val="right" w:pos="9638"/>
        </w:tabs>
        <w:spacing w:after="0" w:line="240"/>
        <w:ind w:left="284"/>
      </w:pPr>
      <w:r>
        <w:rPr>
          <w:sz w:val="16"/>
          <w:szCs w:val="16"/>
          <w:rFonts w:ascii="Verdana" w:cs="Verdana" w:eastAsia="Verdana" w:hAnsi="Verdana"/>
        </w:rPr>
        <w:t xml:space="preserve">Warunki płatności:</w:t>
      </w:r>
    </w:p>
    <w:p>
      <w:pPr>
        <w:tabs>
          <w:tab w:val="right" w:pos="9638"/>
        </w:tabs>
        <w:spacing w:after="0" w:line="240"/>
        <w:ind w:left="284"/>
      </w:pPr>
      <w:r>
        <w:rPr>
          <w:sz w:val="16"/>
          <w:szCs w:val="16"/>
          <w:rFonts w:ascii="Verdana" w:cs="Verdana" w:eastAsia="Verdana" w:hAnsi="Verdana"/>
        </w:rPr>
        <w:t xml:space="preserve">30% zaliczka płatna na 20 tygodni przed dostawą,</w:t>
      </w:r>
    </w:p>
    <w:p>
      <w:pPr>
        <w:tabs>
          <w:tab w:val="right" w:pos="9638"/>
        </w:tabs>
        <w:spacing w:after="0" w:line="240"/>
        <w:ind w:left="284"/>
      </w:pPr>
      <w:r>
        <w:rPr>
          <w:sz w:val="16"/>
          <w:szCs w:val="16"/>
          <w:rFonts w:ascii="Verdana" w:cs="Verdana" w:eastAsia="Verdana" w:hAnsi="Verdana"/>
        </w:rPr>
        <w:t xml:space="preserve">do 60% płatność na 5 dni przed dostawą,</w:t>
      </w:r>
    </w:p>
    <w:p>
      <w:pPr>
        <w:tabs>
          <w:tab w:val="right" w:pos="9638"/>
        </w:tabs>
        <w:spacing w:after="0" w:line="240"/>
        <w:ind w:left="284"/>
      </w:pPr>
      <w:r>
        <w:rPr>
          <w:sz w:val="16"/>
          <w:szCs w:val="16"/>
          <w:rFonts w:ascii="Verdana" w:cs="Verdana" w:eastAsia="Verdana" w:hAnsi="Verdana"/>
        </w:rPr>
        <w:t xml:space="preserve">do 90% płatność do 14 dni po dostawie,</w:t>
      </w:r>
    </w:p>
    <w:p>
      <w:pPr>
        <w:tabs>
          <w:tab w:val="right" w:pos="9638"/>
        </w:tabs>
        <w:spacing w:after="0" w:line="240"/>
        <w:ind w:left="284"/>
      </w:pPr>
      <w:r>
        <w:rPr>
          <w:sz w:val="16"/>
          <w:szCs w:val="16"/>
          <w:rFonts w:ascii="Verdana" w:cs="Verdana" w:eastAsia="Verdana" w:hAnsi="Verdana"/>
        </w:rPr>
        <w:t xml:space="preserve">do 100% płatność do 30 dni po montażu.</w:t>
      </w:r>
    </w:p>
    <w:p>
      <w:pPr>
        <w:tabs>
          <w:tab w:val="right" w:pos="9638"/>
        </w:tabs>
        <w:spacing w:after="0" w:line="240"/>
        <w:ind w:left="284"/>
      </w:pPr>
      <w:r>
        <w:rPr>
          <w:sz w:val="16"/>
          <w:szCs w:val="16"/>
          <w:rFonts w:ascii="Verdana" w:cs="Verdana" w:eastAsia="Verdana" w:hAnsi="Verdana"/>
        </w:rPr>
        <w:t xml:space="preserve">Oferta ważna jest 1 miesiąc.</w:t>
      </w:r>
    </w:p>
    <w:p>
      <w:pPr>
        <w:keepNext/>
        <w:tabs>
          <w:tab w:val="left" w:pos="284"/>
        </w:tabs>
        <w:spacing w:before="200" w:after="20" w:line="240"/>
        <w:ind w:left="284" w:hanging="284"/>
      </w:pPr>
      <w:r>
        <w:rPr>
          <w:b/>
          <w:bCs/>
          <w:sz w:val="16"/>
          <w:szCs w:val="16"/>
          <w:rFonts w:ascii="Verdana" w:cs="Verdana" w:eastAsia="Verdana" w:hAnsi="Verdana"/>
        </w:rPr>
        <w:t xml:space="preserve">3.</w:t>
      </w:r>
      <w:r>
        <w:tab/>
      </w:r>
      <w:r>
        <w:rPr>
          <w:b/>
          <w:bCs/>
          <w:sz w:val="16"/>
          <w:szCs w:val="16"/>
          <w:rFonts w:ascii="Verdana" w:cs="Verdana" w:eastAsia="Verdana" w:hAnsi="Verdana"/>
        </w:rPr>
        <w:t xml:space="preserve">Dostawa i montaż.</w:t>
      </w:r>
    </w:p>
    <w:p>
      <w:pPr>
        <w:spacing w:after="0" w:line="240"/>
        <w:ind w:left="284"/>
        <w:jc w:val="both"/>
      </w:pPr>
      <w:r>
        <w:rPr>
          <w:sz w:val="16"/>
          <w:szCs w:val="16"/>
          <w:rFonts w:ascii="Verdana" w:cs="Verdana" w:eastAsia="Verdana" w:hAnsi="Verdana"/>
        </w:rPr>
        <w:t xml:space="preserve">Pierwsza dostawa nastąpi nie wcześniej niż po ok. 20 tygodniach od zawarcia umowy, w zależności od aktualnie realizowanych zleceń.</w:t>
      </w:r>
    </w:p>
    <w:p>
      <w:pPr>
        <w:spacing w:after="0" w:line="240"/>
        <w:ind w:left="284"/>
        <w:jc w:val="both"/>
      </w:pPr>
      <w:r>
        <w:rPr>
          <w:sz w:val="16"/>
          <w:szCs w:val="16"/>
          <w:rFonts w:ascii="Verdana" w:cs="Verdana" w:eastAsia="Verdana" w:hAnsi="Verdana"/>
        </w:rPr>
        <w:t xml:space="preserve">Przewidywany czas montażu 3-4 tygodni od dnia dostawy, w zależności od warunków panujących na budowie.</w:t>
      </w:r>
    </w:p>
    <w:p>
      <w:pPr>
        <w:keepNext/>
        <w:tabs>
          <w:tab w:val="left" w:pos="284"/>
        </w:tabs>
        <w:spacing w:before="200" w:after="20" w:line="240"/>
        <w:ind w:left="284" w:hanging="284"/>
      </w:pPr>
      <w:r>
        <w:rPr>
          <w:b/>
          <w:bCs/>
          <w:sz w:val="16"/>
          <w:szCs w:val="16"/>
          <w:rFonts w:ascii="Verdana" w:cs="Verdana" w:eastAsia="Verdana" w:hAnsi="Verdana"/>
        </w:rPr>
        <w:t xml:space="preserve">4.</w:t>
      </w:r>
      <w:r>
        <w:tab/>
      </w:r>
      <w:r>
        <w:rPr>
          <w:b/>
          <w:bCs/>
          <w:sz w:val="16"/>
          <w:szCs w:val="16"/>
          <w:rFonts w:ascii="Verdana" w:cs="Verdana" w:eastAsia="Verdana" w:hAnsi="Verdana"/>
        </w:rPr>
        <w:t xml:space="preserve">Zakres oferty.</w:t>
      </w:r>
    </w:p>
    <w:p>
      <w:pPr>
        <w:spacing w:before="0" w:after="0" w:line="240"/>
        <w:ind w:left="284"/>
        <w:jc w:val="both"/>
      </w:pPr>
      <w:r>
        <w:rPr>
          <w:sz w:val="16"/>
          <w:szCs w:val="16"/>
          <w:rFonts w:ascii="Verdana" w:cs="Verdana" w:eastAsia="Verdana" w:hAnsi="Verdana"/>
        </w:rPr>
        <w:t xml:space="preserve">Dostawa na plac budowy urządzeń parkingowych, montaż, rozruch wyłącznie palety NK6501, wraz z kompletem dokumentów oraz przeprowadzeniem szkolenia Zamawiającego.</w:t>
      </w:r>
    </w:p>
    <w:p>
      <w:pPr>
        <w:spacing w:before="120" w:after="0" w:line="240"/>
        <w:ind w:left="284"/>
        <w:jc w:val="both"/>
      </w:pPr>
      <w:r>
        <w:rPr>
          <w:u w:val="single"/>
          <w:sz w:val="16"/>
          <w:szCs w:val="16"/>
          <w:rFonts w:ascii="Verdana" w:cs="Verdana" w:eastAsia="Verdana" w:hAnsi="Verdana"/>
        </w:rPr>
        <w:t xml:space="preserve">Poza ofertą pozostają:</w:t>
      </w:r>
      <w:r>
        <w:rPr>
          <w:sz w:val="16"/>
          <w:szCs w:val="16"/>
          <w:rFonts w:ascii="Verdana" w:cs="Verdana" w:eastAsia="Verdana" w:hAnsi="Verdana"/>
        </w:rPr>
        <w:t xml:space="preserve"> koszty ogólne budowy, ubezpieczenia budowy, wszelkie roboty budowlano-wykończeniowe obiektu, wykonanie napraw tynkarsko-malarskich, np. po montażu urządzeń sterowniczych, wyposażenia w instalację przeciw pożarową, wentylacyjną, elektryczną obiektu, sygnalizacyjną, oznaczeń pionowych i poziomych bezpieczeństwa i organizacji ruchu na terenie obiektu (w tym numeracja miejsc postojowych) oraz pomiarów elektrycznych linii zasilających (wykonywanych przez budowę).</w:t>
      </w:r>
    </w:p>
    <w:p>
      <w:pPr>
        <w:keepNext/>
        <w:tabs>
          <w:tab w:val="left" w:pos="284"/>
        </w:tabs>
        <w:spacing w:before="200" w:after="20" w:line="240"/>
        <w:ind w:left="284" w:hanging="284"/>
      </w:pPr>
      <w:r>
        <w:rPr>
          <w:b/>
          <w:bCs/>
          <w:sz w:val="16"/>
          <w:szCs w:val="16"/>
          <w:rFonts w:ascii="Verdana" w:cs="Verdana" w:eastAsia="Verdana" w:hAnsi="Verdana"/>
        </w:rPr>
        <w:t xml:space="preserve">5.</w:t>
      </w:r>
      <w:r>
        <w:tab/>
      </w:r>
      <w:r>
        <w:rPr>
          <w:b/>
          <w:bCs/>
          <w:sz w:val="16"/>
          <w:szCs w:val="16"/>
          <w:rFonts w:ascii="Verdana" w:cs="Verdana" w:eastAsia="Verdana" w:hAnsi="Verdana"/>
        </w:rPr>
        <w:t xml:space="preserve">Warunki montażu.</w:t>
      </w:r>
    </w:p>
    <w:p>
      <w:pPr>
        <w:spacing w:before="80" w:after="0" w:line="240"/>
        <w:ind w:left="284"/>
        <w:jc w:val="both"/>
      </w:pPr>
      <w:r>
        <w:rPr>
          <w:sz w:val="16"/>
          <w:szCs w:val="16"/>
          <w:rFonts w:ascii="Verdana" w:cs="Verdana" w:eastAsia="Verdana" w:hAnsi="Verdana"/>
        </w:rPr>
        <w:t xml:space="preserve">Wszelkie elementy konstrukcyjne garażu powinny być wykonane dokładnie i zgodnie z dokumentacją projektową oraz naszymi wytycznymi. Powierzchnie podłoży wykonane z betonu C20/25 o odpowiedniej nośności, pozostające w stanie suchym i nie pylące. Wszelkie roboty budowlane, instalacyjne i wykończeniowe oraz sprzątanie należy zakończyć przed przystąpieniem do montażu urządzeń parkingowych. Na czas montażu należy zapewnić dostęp do energii elektrycznej w docelowym punkcie odbioru energii przy skrzyniach sterujących, zlokalizowanych w bezpośrednim sąsiedztwie montażu. Wymagane jest oświetlenie zgodne z normą DIN 67528 "Oświetlenie miejsc parkingowych". Elementy wszelkich instalacji: kanalizacyjnej, wentylacyjnej, wodnej, elektrycznej, oświetleniowej, detekcyjnej (ochronnej dymowej) i innych nie powinny być umiejscowione w przestrzeni ruchu palet do wysokości 215cm dla parkowanych na paletach pojazdów o wysokości 200cm. Równość posadzki, po której poruszać będą się palety zgodna z normą DIN EN 18202 Tab.3, wiersz 3 - odpowiednio dla tego typu zastosowań. Nie dopuszczalne są załamania spadków posadzki na drodze poruszania się palet (wzdłuż torowisk). Dopuszczalny jednolity spadek 0,5-1,5%.</w:t>
      </w:r>
    </w:p>
    <w:p>
      <w:pPr>
        <w:spacing w:before="80" w:after="0" w:line="240"/>
        <w:ind w:left="284"/>
        <w:jc w:val="both"/>
      </w:pPr>
      <w:r>
        <w:rPr>
          <w:sz w:val="16"/>
          <w:szCs w:val="16"/>
          <w:rFonts w:ascii="Verdana" w:cs="Verdana" w:eastAsia="Verdana" w:hAnsi="Verdana"/>
        </w:rPr>
        <w:t xml:space="preserve">Zamawiający powinien umożliwić dojazd samochodem ciężarowym o długości 18m do miejsca składowania, rozładowania oraz przetransportowania elementów urządzeń na miejsce montażu. Minimalne wymiary przejazdów to 2.05m wysokości i ok. 4,00m szerokości.</w:t>
      </w:r>
    </w:p>
    <w:p>
      <w:pPr>
        <w:spacing w:before="80" w:after="0" w:line="240"/>
        <w:ind w:left="284"/>
        <w:jc w:val="both"/>
      </w:pPr>
      <w:r>
        <w:rPr>
          <w:sz w:val="16"/>
          <w:szCs w:val="16"/>
          <w:rFonts w:ascii="Verdana" w:cs="Verdana" w:eastAsia="Verdana" w:hAnsi="Verdana"/>
        </w:rPr>
        <w:t xml:space="preserve">Ponadto, Zamawiający zobowiązany jest w zakresie zasilania elektrycznego urządzeń NK6501 do wykonania:</w:t>
      </w:r>
    </w:p>
    <w:p>
      <w:pPr>
        <w:tabs>
          <w:tab w:val="left" w:pos="710"/>
        </w:tabs>
        <w:spacing w:after="0" w:line="240"/>
        <w:ind w:left="710" w:hanging="426"/>
      </w:pPr>
      <w:r>
        <w:rPr>
          <w:sz w:val="16"/>
          <w:szCs w:val="16"/>
          <w:rFonts w:ascii="Verdana" w:cs="Verdana" w:eastAsia="Verdana" w:hAnsi="Verdana"/>
        </w:rPr>
        <w:t xml:space="preserve">1.</w:t>
      </w:r>
      <w:r>
        <w:tab/>
      </w:r>
      <w:r>
        <w:rPr>
          <w:sz w:val="16"/>
          <w:szCs w:val="16"/>
          <w:rFonts w:ascii="Verdana" w:cs="Verdana" w:eastAsia="Verdana" w:hAnsi="Verdana"/>
        </w:rPr>
        <w:t xml:space="preserve">Zabezpieczenia głównego zwłocznego 3x16A dla każdego zespołu palet włączonych do jednej skrzyni sterowej max. 2,5kW, 400V, 50Hz;</w:t>
      </w:r>
    </w:p>
    <w:p>
      <w:pPr>
        <w:tabs>
          <w:tab w:val="left" w:pos="710"/>
        </w:tabs>
        <w:spacing w:after="0" w:line="240"/>
        <w:ind w:left="710" w:hanging="426"/>
      </w:pPr>
      <w:r>
        <w:rPr>
          <w:sz w:val="16"/>
          <w:szCs w:val="16"/>
          <w:rFonts w:ascii="Verdana" w:cs="Verdana" w:eastAsia="Verdana" w:hAnsi="Verdana"/>
        </w:rPr>
        <w:t xml:space="preserve">2.</w:t>
      </w:r>
      <w:r>
        <w:tab/>
      </w:r>
      <w:r>
        <w:rPr>
          <w:sz w:val="16"/>
          <w:szCs w:val="16"/>
          <w:rFonts w:ascii="Verdana" w:cs="Verdana" w:eastAsia="Verdana" w:hAnsi="Verdana"/>
        </w:rPr>
        <w:t xml:space="preserve">Zasilania do rozłącznika głównego przewodem 3Ph+N+PE 5x2.5mm2;</w:t>
      </w:r>
    </w:p>
    <w:p>
      <w:pPr>
        <w:tabs>
          <w:tab w:val="left" w:pos="710"/>
        </w:tabs>
        <w:spacing w:after="0" w:line="240"/>
        <w:ind w:left="710" w:hanging="426"/>
      </w:pPr>
      <w:r>
        <w:rPr>
          <w:sz w:val="16"/>
          <w:szCs w:val="16"/>
          <w:rFonts w:ascii="Verdana" w:cs="Verdana" w:eastAsia="Verdana" w:hAnsi="Verdana"/>
        </w:rPr>
        <w:t xml:space="preserve">3.</w:t>
      </w:r>
      <w:r>
        <w:tab/>
      </w:r>
      <w:r>
        <w:rPr>
          <w:sz w:val="16"/>
          <w:szCs w:val="16"/>
          <w:rFonts w:ascii="Verdana" w:cs="Verdana" w:eastAsia="Verdana" w:hAnsi="Verdana"/>
        </w:rPr>
        <w:t xml:space="preserve">Rozłącznika głównego blokowanego 16A 3Ph+1N - w miejscu ustalonym z dostawcą urządzeń;</w:t>
      </w:r>
    </w:p>
    <w:p>
      <w:pPr>
        <w:tabs>
          <w:tab w:val="left" w:pos="710"/>
        </w:tabs>
        <w:spacing w:after="0" w:line="240"/>
        <w:ind w:left="710" w:hanging="426"/>
      </w:pPr>
      <w:r>
        <w:rPr>
          <w:sz w:val="16"/>
          <w:szCs w:val="16"/>
          <w:rFonts w:ascii="Verdana" w:cs="Verdana" w:eastAsia="Verdana" w:hAnsi="Verdana"/>
        </w:rPr>
        <w:t xml:space="preserve">4.</w:t>
      </w:r>
      <w:r>
        <w:tab/>
      </w:r>
      <w:r>
        <w:rPr>
          <w:sz w:val="16"/>
          <w:szCs w:val="16"/>
          <w:rFonts w:ascii="Verdana" w:cs="Verdana" w:eastAsia="Verdana" w:hAnsi="Verdana"/>
        </w:rPr>
        <w:t xml:space="preserve">Doprowadzenia przewodu 5x2,5 mm2 od rozłącznika do skrzyni sterowniczej;</w:t>
      </w:r>
    </w:p>
    <w:p>
      <w:pPr>
        <w:tabs>
          <w:tab w:val="left" w:pos="710"/>
        </w:tabs>
        <w:spacing w:after="0" w:line="240"/>
        <w:ind w:left="710" w:hanging="426"/>
      </w:pPr>
      <w:r>
        <w:rPr>
          <w:sz w:val="16"/>
          <w:szCs w:val="16"/>
          <w:rFonts w:ascii="Verdana" w:cs="Verdana" w:eastAsia="Verdana" w:hAnsi="Verdana"/>
        </w:rPr>
        <w:t xml:space="preserve">5.</w:t>
      </w:r>
      <w:r>
        <w:tab/>
      </w:r>
      <w:r>
        <w:rPr>
          <w:sz w:val="16"/>
          <w:szCs w:val="16"/>
          <w:rFonts w:ascii="Verdana" w:cs="Verdana" w:eastAsia="Verdana" w:hAnsi="Verdana"/>
        </w:rPr>
        <w:t xml:space="preserve">Doprowadzenia instalacji uziemiającej do każdej szyny i skrzyni sterowej.</w:t>
      </w:r>
    </w:p>
    <w:p>
      <w:pPr>
        <w:keepNext/>
        <w:tabs>
          <w:tab w:val="left" w:pos="284"/>
        </w:tabs>
        <w:spacing w:before="200" w:after="20" w:line="240"/>
        <w:ind w:left="284" w:hanging="284"/>
      </w:pPr>
      <w:r>
        <w:rPr>
          <w:b/>
          <w:bCs/>
          <w:sz w:val="16"/>
          <w:szCs w:val="16"/>
          <w:rFonts w:ascii="Verdana" w:cs="Verdana" w:eastAsia="Verdana" w:hAnsi="Verdana"/>
        </w:rPr>
        <w:t xml:space="preserve">6.</w:t>
      </w:r>
      <w:r>
        <w:tab/>
      </w:r>
      <w:r>
        <w:rPr>
          <w:b/>
          <w:bCs/>
          <w:sz w:val="16"/>
          <w:szCs w:val="16"/>
          <w:rFonts w:ascii="Verdana" w:cs="Verdana" w:eastAsia="Verdana" w:hAnsi="Verdana"/>
        </w:rPr>
        <w:t xml:space="preserve">Gwarancja.</w:t>
      </w:r>
    </w:p>
    <w:p>
      <w:pPr>
        <w:spacing w:after="0" w:line="240"/>
        <w:ind w:left="284"/>
        <w:jc w:val="both"/>
      </w:pPr>
      <w:r>
        <w:rPr>
          <w:sz w:val="16"/>
          <w:szCs w:val="16"/>
          <w:rFonts w:ascii="Verdana" w:cs="Verdana" w:eastAsia="Verdana" w:hAnsi="Verdana"/>
        </w:rPr>
        <w:t xml:space="preserve">Producent udziela 60 miesięcznej gwarancji jakości na sprawne działanie urządzeń pod warunkiem podpisania z dostawcą i utrzymania w mocy umowy konserwacyjno - serwisowej, umożliwiającej nam stałą opiekę oraz nadzór nad stanem technicznym platform. W ramach umowy serwisowej dokonywane są 2 przeglądy serwisowe w ciągu roku. Gwarancja nie obejmuje zużycia części eksploatacyjnych, uszkodzeń wynikających z eksploatacji niezgodnej z instrukcją użytkowania, agresywnego środowiska, zbyt dużej wilgotności, uszkodzeń powstałych w wyniku zdarzeń losowych (np. pożar, zalanie). Po upływie okresu gwarancji świadczymy serwis pogwarancyjny.</w:t>
      </w:r>
    </w:p>
    <w:p>
      <w:pPr>
        <w:spacing w:after="0" w:line="240" w:before="0"/>
      </w:pPr>
      <w:r>
        <w:rPr>
          <w:sz w:val="16"/>
          <w:szCs w:val="16"/>
          <w:rFonts w:ascii="Verdana" w:cs="Verdana" w:eastAsia="Verdana" w:hAnsi="Verdana"/>
        </w:rPr>
      </w:r>
    </w:p>
    <w:p>
      <w:pPr>
        <w:spacing w:after="0" w:line="240"/>
        <w:ind w:left="284"/>
        <w:jc w:val="both"/>
      </w:pPr>
      <w:r>
        <w:rPr>
          <w:sz w:val="16"/>
          <w:szCs w:val="16"/>
          <w:rFonts w:ascii="Verdana" w:cs="Verdana" w:eastAsia="Verdana" w:hAnsi="Verdana"/>
        </w:rPr>
        <w:t xml:space="preserve">Wyrażamy przekonanie iż przedstawiona oferta zyska Państwa aprobatę i przyczyni się do dalszej owocnej współpracy.</w:t>
      </w:r>
    </w:p>
    <w:p>
      <w:pPr>
        <w:spacing w:after="0" w:line="240"/>
        <w:ind w:left="568"/>
        <w:jc w:val="both"/>
      </w:pPr>
      <w:r>
        <w:rPr>
          <w:sz w:val="16"/>
          <w:szCs w:val="16"/>
          <w:rFonts w:ascii="Verdana" w:cs="Verdana" w:eastAsia="Verdana" w:hAnsi="Verdana"/>
        </w:rPr>
      </w:r>
    </w:p>
    <w:p>
      <w:pPr>
        <w:spacing w:after="0" w:line="240"/>
        <w:ind w:left="568"/>
        <w:jc w:val="both"/>
      </w:pPr>
      <w:r>
        <w:rPr>
          <w:sz w:val="16"/>
          <w:szCs w:val="16"/>
          <w:rFonts w:ascii="Verdana" w:cs="Verdana" w:eastAsia="Verdana" w:hAnsi="Verdana"/>
        </w:rPr>
        <w:t xml:space="preserve">Z poważaniem,</w:t>
      </w:r>
    </w:p>
    <w:p>
      <w:pPr>
        <w:spacing w:after="0" w:line="240" w:before="0"/>
      </w:pPr>
      <w:r>
        <w:rPr>
          <w:sz w:val="16"/>
          <w:szCs w:val="16"/>
          <w:rFonts w:ascii="Verdana" w:cs="Verdana" w:eastAsia="Verdana" w:hAnsi="Verdana"/>
        </w:rPr>
      </w:r>
    </w:p>
    <w:p>
      <w:pPr>
        <w:spacing w:after="0" w:line="240" w:before="0"/>
      </w:pPr>
      <w:r>
        <w:rPr>
          <w:sz w:val="16"/>
          <w:szCs w:val="16"/>
          <w:rFonts w:ascii="Verdana" w:cs="Verdana" w:eastAsia="Verdana" w:hAnsi="Verdana"/>
        </w:rPr>
      </w:r>
    </w:p>
    <w:p>
      <w:pPr>
        <w:spacing w:after="0" w:line="240" w:before="0"/>
      </w:pPr>
      <w:r>
        <w:rPr>
          <w:sz w:val="16"/>
          <w:szCs w:val="16"/>
          <w:rFonts w:ascii="Verdana" w:cs="Verdana" w:eastAsia="Verdana" w:hAnsi="Verdana"/>
        </w:rPr>
      </w:r>
    </w:p>
    <w:p>
      <w:pPr>
        <w:spacing w:after="0" w:line="240"/>
        <w:ind w:left="567"/>
        <w:jc w:val="left"/>
      </w:pPr>
      <w:r>
        <w:rPr>
          <w:sz w:val="16"/>
          <w:szCs w:val="16"/>
          <w:rFonts w:ascii="Verdana" w:cs="Verdana" w:eastAsia="Verdana" w:hAnsi="Verdana"/>
        </w:rPr>
        <w:t xml:space="preserve">arch. Iwo Nowina Konopka</w:t>
      </w:r>
    </w:p>
    <w:p>
      <w:pPr>
        <w:spacing w:after="0" w:line="240"/>
        <w:ind w:left="567"/>
        <w:jc w:val="left"/>
      </w:pPr>
      <w:r>
        <w:rPr>
          <w:sz w:val="16"/>
          <w:szCs w:val="16"/>
          <w:rFonts w:ascii="Verdana" w:cs="Verdana" w:eastAsia="Verdana" w:hAnsi="Verdana"/>
        </w:rPr>
        <w:t xml:space="preserve">Prezes Zarządu</w:t>
      </w:r>
    </w:p>
    <w:sectPr>
      <w:headerReference w:type="default" r:id="rId6"/>
      <w:headerReference w:type="first" r:id="rId7"/>
      <w:footerReference w:type="default" r:id="rId8"/>
      <w:footerReference w:type="first" r:id="rId9"/>
      <w:pgSz w:w="11906" w:h="16838" w:orient="portrait"/>
      <w:pgMar w:top="1418" w:right="1134" w:bottom="1418" w:left="1134" w:header="425" w:footer="42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line="240"/>
      <w:jc w:val="both"/>
    </w:pPr>
    <w:r>
      <w:rPr>
        <w:color w:val="444444"/>
        <w:sz w:val="12"/>
        <w:szCs w:val="12"/>
        <w:rFonts w:ascii="Verdana" w:cs="Verdana" w:eastAsia="Verdana" w:hAnsi="Verdana"/>
      </w:rPr>
      <w:t xml:space="preserve">Klauzula poufności. Klient zobowiązuje się do zachowania najwyższej poufności względem zawartości i przedmiotu niniejszej oferty i załączonej dokumentacji. Zobowiązuje się również do nie rozpowszechniania jej treści ani do nie używania jej w celach innych niż ocena tej oferty.</w:t>
    </w:r>
  </w:p>
  <w:p>
    <w:pPr>
      <w:pBdr>
        <w:top w:val="single" w:color="BFBFBF" w:sz="4" w:space="4"/>
      </w:pBdr>
      <w:spacing w:after="0" w:line="240"/>
      <w:jc w:val="center"/>
    </w:pPr>
    <w:r>
      <w:rPr>
        <w:sz w:val="20"/>
        <w:szCs w:val="20"/>
        <w:rFonts w:ascii="Century Gothic" w:cs="Century Gothic" w:eastAsia="Century Gothic" w:hAnsi="Century Gothic"/>
      </w:rPr>
      <w:t xml:space="preserve">PSP NowinaKonopka Technologies Sp. z o.o. S.K.</w:t>
    </w:r>
  </w:p>
  <w:p>
    <w:pPr>
      <w:spacing w:after="0" w:line="240"/>
      <w:jc w:val="center"/>
    </w:pPr>
    <w:r>
      <w:rPr>
        <w:sz w:val="20"/>
        <w:szCs w:val="20"/>
        <w:rFonts w:ascii="Century Gothic" w:cs="Century Gothic" w:eastAsia="Century Gothic" w:hAnsi="Century Gothic"/>
      </w:rPr>
      <w:t xml:space="preserve">31-123 Kraków, ul. Krupnicza 6, NIP: PL-676-248-01-77</w:t>
    </w:r>
  </w:p>
  <w:p>
    <w:pPr>
      <w:spacing w:after="0" w:line="240"/>
      <w:jc w:val="center"/>
    </w:pPr>
    <w:r>
      <w:rPr>
        <w:u w:val="single"/>
        <w:color w:val="0000FF"/>
        <w:sz w:val="16"/>
        <w:szCs w:val="16"/>
        <w:rFonts w:ascii="Century Gothic" w:cs="Century Gothic" w:eastAsia="Century Gothic" w:hAnsi="Century Gothic"/>
      </w:rPr>
      <w:t xml:space="preserve">biuro@nowinakonopka.com</w:t>
    </w:r>
    <w:r>
      <w:rPr>
        <w:color w:val="000000"/>
        <w:sz w:val="18"/>
        <w:szCs w:val="18"/>
        <w:rFonts w:ascii="Century Gothic" w:cs="Century Gothic" w:eastAsia="Century Gothic" w:hAnsi="Century Gothic"/>
      </w:rPr>
      <w:t xml:space="preserve">    </w:t>
    </w:r>
    <w:r>
      <w:rPr>
        <w:u w:val="single"/>
        <w:color w:val="0000FF"/>
        <w:sz w:val="16"/>
        <w:szCs w:val="16"/>
        <w:rFonts w:ascii="Century Gothic" w:cs="Century Gothic" w:eastAsia="Century Gothic" w:hAnsi="Century Gothic"/>
      </w:rPr>
      <w:t xml:space="preserve">http://www.nowinakonopka.com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after="0" w:line="240"/>
      <w:jc w:val="center"/>
    </w:pPr>
    <w:r>
      <w:rPr>
        <w:sz w:val="20"/>
        <w:szCs w:val="20"/>
        <w:rFonts w:ascii="Century Gothic" w:cs="Century Gothic" w:eastAsia="Century Gothic" w:hAnsi="Century Gothic"/>
      </w:rPr>
      <w:t xml:space="preserve">PSP NowinaKonopka Technologies Sp. z o.o. S.K.</w:t>
    </w:r>
  </w:p>
  <w:p>
    <w:pPr>
      <w:spacing w:after="0" w:line="240"/>
      <w:jc w:val="center"/>
    </w:pPr>
    <w:r>
      <w:rPr>
        <w:sz w:val="20"/>
        <w:szCs w:val="20"/>
        <w:rFonts w:ascii="Century Gothic" w:cs="Century Gothic" w:eastAsia="Century Gothic" w:hAnsi="Century Gothic"/>
      </w:rPr>
      <w:t xml:space="preserve">31-123 Kraków, ul. Krupnicza 6, NIP: PL-676-248-01-77</w:t>
    </w:r>
  </w:p>
  <w:p>
    <w:pPr>
      <w:spacing w:after="0" w:line="240"/>
      <w:jc w:val="center"/>
    </w:pPr>
    <w:r>
      <w:rPr>
        <w:u w:val="single"/>
        <w:color w:val="0000FF"/>
        <w:sz w:val="16"/>
        <w:szCs w:val="16"/>
        <w:rFonts w:ascii="Century Gothic" w:cs="Century Gothic" w:eastAsia="Century Gothic" w:hAnsi="Century Gothic"/>
      </w:rPr>
      <w:t xml:space="preserve">biuro@nowinakonopka.com</w:t>
    </w:r>
    <w:r>
      <w:rPr>
        <w:color w:val="000000"/>
        <w:sz w:val="18"/>
        <w:szCs w:val="18"/>
        <w:rFonts w:ascii="Century Gothic" w:cs="Century Gothic" w:eastAsia="Century Gothic" w:hAnsi="Century Gothic"/>
      </w:rPr>
      <w:t xml:space="preserve">    </w:t>
    </w:r>
    <w:r>
      <w:rPr>
        <w:u w:val="single"/>
        <w:color w:val="0000FF"/>
        <w:sz w:val="16"/>
        <w:szCs w:val="16"/>
        <w:rFonts w:ascii="Century Gothic" w:cs="Century Gothic" w:eastAsia="Century Gothic" w:hAnsi="Century Gothic"/>
      </w:rPr>
      <w:t xml:space="preserve">http://www.nowinakonopka.com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600"/>
      <w:gridCol w:w="5400"/>
      <w:gridCol w:w="638"/>
    </w:tblGrid>
    <w:tr>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40"/>
          </w:pPr>
          <w:r>
            <w:rPr>
              <w:sz w:val="16"/>
              <w:szCs w:val="16"/>
              <w:rFonts w:ascii="Verdana" w:cs="Verdana" w:eastAsia="Verdana" w:hAnsi="Verdana"/>
            </w:rPr>
          </w:r>
        </w:p>
      </w:tc>
      <w:tc>
        <w:tcPr>
          <w:tcW w:type="dxa" w:w="54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240"/>
            <w:jc w:val="center"/>
          </w:pPr>
          <w:r>
            <w:rPr>
              <w:b/>
              <w:bCs/>
              <w:color w:val="000000"/>
              <w:sz w:val="18"/>
              <w:szCs w:val="18"/>
              <w:rFonts w:ascii="Times New Roman" w:cs="Times New Roman" w:eastAsia="Times New Roman" w:hAnsi="Times New Roman"/>
            </w:rPr>
            <w:t xml:space="preserve">PLATFORMOWE SYSTEMY PARKINGOWE</w:t>
          </w:r>
        </w:p>
      </w:tc>
      <w:tc>
        <w:tcPr>
          <w:tcW w:type="dxa" w:w="63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hd w:fill="9DBCE3" w:color="auto" w:val="clear"/>
            <w:spacing w:after="0" w:line="240"/>
            <w:jc w:val="center"/>
          </w:pPr>
          <w:r>
            <w:rPr>
              <w:b/>
              <w:bCs/>
              <w:color w:val="FFFFFF"/>
              <w:sz w:val="20"/>
              <w:szCs w:val="20"/>
              <w:rFonts w:ascii="Book Antiqua" w:cs="Book Antiqua" w:eastAsia="Book Antiqua" w:hAnsi="Book Antiqua"/>
            </w:rPr>
            <w:fldChar w:fldCharType="begin"/>
            <w:instrText xml:space="preserve">PAGE</w:instrText>
            <w:fldChar w:fldCharType="separate"/>
            <w:fldChar w:fldCharType="end"/>
          </w:r>
        </w:p>
      </w:tc>
    </w:tr>
  </w:tbl>
  <w:p>
    <w:pPr>
      <w:spacing w:after="0" w:line="240"/>
    </w:pPr>
    <w:r>
      <w:rPr>
        <w:sz w:val="16"/>
        <w:szCs w:val="16"/>
        <w:rFonts w:ascii="Verdana" w:cs="Verdana" w:eastAsia="Verdana" w:hAnsi="Verdana"/>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600"/>
      <w:gridCol w:w="5400"/>
      <w:gridCol w:w="638"/>
    </w:tblGrid>
    <w:tr>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r>
            <w:drawing>
              <wp:inline distT="0" distB="0" distL="0" distR="0">
                <wp:extent cx="22098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209800" cy="552450"/>
                        </a:xfrm>
                        <a:prstGeom prst="rect">
                          <a:avLst/>
                        </a:prstGeom>
                      </pic:spPr>
                    </pic:pic>
                  </a:graphicData>
                </a:graphic>
              </wp:inline>
            </w:drawing>
          </w:r>
        </w:p>
      </w:tc>
      <w:tc>
        <w:tcPr>
          <w:tcW w:type="dxa" w:w="54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240"/>
            <w:jc w:val="center"/>
          </w:pPr>
          <w:r>
            <w:rPr>
              <w:b/>
              <w:bCs/>
              <w:color w:val="000000"/>
              <w:sz w:val="18"/>
              <w:szCs w:val="18"/>
              <w:rFonts w:ascii="Times New Roman" w:cs="Times New Roman" w:eastAsia="Times New Roman" w:hAnsi="Times New Roman"/>
            </w:rPr>
            <w:t xml:space="preserve">PLATFORMOWE SYSTEMY PARKINGOWE</w:t>
          </w:r>
        </w:p>
        <w:p>
          <w:pPr>
            <w:spacing w:after="0" w:line="240"/>
            <w:jc w:val="center"/>
          </w:pPr>
          <w:r>
            <w:rPr>
              <w:b/>
              <w:bCs/>
              <w:color w:val="000000"/>
              <w:sz w:val="18"/>
              <w:szCs w:val="18"/>
              <w:rFonts w:ascii="Times New Roman" w:cs="Times New Roman" w:eastAsia="Times New Roman" w:hAnsi="Times New Roman"/>
            </w:rPr>
            <w:t xml:space="preserve">PSP NOWINAKONOPKA TECHNOLOGIES SP. Z O.O. S.K.</w:t>
          </w:r>
        </w:p>
        <w:p>
          <w:pPr>
            <w:spacing w:after="0" w:line="240"/>
            <w:jc w:val="center"/>
          </w:pPr>
          <w:r>
            <w:rPr>
              <w:b w:val="false"/>
              <w:bCs w:val="false"/>
              <w:color w:val="444444"/>
              <w:sz w:val="17"/>
              <w:szCs w:val="17"/>
              <w:rFonts w:ascii="Century Gothic" w:cs="Century Gothic" w:eastAsia="Century Gothic" w:hAnsi="Century Gothic"/>
            </w:rPr>
            <w:t xml:space="preserve">31-123 Kraków, ul. Krupnicza 6</w:t>
          </w:r>
        </w:p>
        <w:p>
          <w:pPr>
            <w:spacing w:after="0" w:line="240"/>
            <w:jc w:val="center"/>
          </w:pPr>
          <w:r>
            <w:rPr>
              <w:b w:val="false"/>
              <w:bCs w:val="false"/>
              <w:color w:val="444444"/>
              <w:sz w:val="17"/>
              <w:szCs w:val="17"/>
              <w:rFonts w:ascii="Century Gothic" w:cs="Century Gothic" w:eastAsia="Century Gothic" w:hAnsi="Century Gothic"/>
            </w:rPr>
            <w:t xml:space="preserve">tel. +48 12 4212735</w:t>
          </w:r>
        </w:p>
        <w:p>
          <w:pPr>
            <w:spacing w:after="0" w:line="240"/>
            <w:jc w:val="center"/>
          </w:pPr>
          <w:r>
            <w:rPr>
              <w:b w:val="false"/>
              <w:bCs w:val="false"/>
              <w:color w:val="444444"/>
              <w:sz w:val="17"/>
              <w:szCs w:val="17"/>
              <w:rFonts w:ascii="Century Gothic" w:cs="Century Gothic" w:eastAsia="Century Gothic" w:hAnsi="Century Gothic"/>
            </w:rPr>
            <w:t xml:space="preserve">tel. 601 289 709</w:t>
          </w:r>
        </w:p>
      </w:tc>
      <w:tc>
        <w:tcPr>
          <w:tcW w:type="dxa" w:w="63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hd w:fill="9DBCE3" w:color="auto" w:val="clear"/>
            <w:spacing w:after="0" w:line="240"/>
            <w:jc w:val="center"/>
          </w:pPr>
          <w:r>
            <w:rPr>
              <w:b/>
              <w:bCs/>
              <w:color w:val="FFFFFF"/>
              <w:sz w:val="20"/>
              <w:szCs w:val="20"/>
              <w:rFonts w:ascii="Book Antiqua" w:cs="Book Antiqua" w:eastAsia="Book Antiqua" w:hAnsi="Book Antiqua"/>
            </w:rPr>
            <w:fldChar w:fldCharType="begin"/>
            <w:instrText xml:space="preserve">PAGE</w:instrText>
            <w:fldChar w:fldCharType="separate"/>
            <w:fldChar w:fldCharType="end"/>
          </w:r>
        </w:p>
      </w:tc>
    </w:tr>
  </w:tbl>
  <w:p>
    <w:pPr>
      <w:spacing w:after="0" w:line="240"/>
    </w:pPr>
    <w:r>
      <w:rPr>
        <w:sz w:val="16"/>
        <w:szCs w:val="16"/>
        <w:rFonts w:ascii="Verdana" w:cs="Verdana" w:eastAsia="Verdana" w:hAnsi="Verdana"/>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284"/>
      </w:pPr>
      <w:rPr>
        <w:color w:val="3366CC"/>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6"/>
        <w:szCs w:val="16"/>
        <w:rFonts w:ascii="Verdana" w:cs="Verdana" w:eastAsia="Verdana" w:hAnsi="Verdan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klqxbf74adeomqsqhsbls.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Kalkulator NK38</dc:creator>
  <cp:lastModifiedBy>Un-named</cp:lastModifiedBy>
  <cp:revision>1</cp:revision>
  <dcterms:created xsi:type="dcterms:W3CDTF">2026-10-30T12:42:33.986Z</dcterms:created>
  <dcterms:modified xsi:type="dcterms:W3CDTF">2026-10-30T12:42:33.986Z</dcterms:modified>
</cp:coreProperties>
</file>

<file path=docProps/custom.xml><?xml version="1.0" encoding="utf-8"?>
<Properties xmlns="http://schemas.openxmlformats.org/officeDocument/2006/custom-properties" xmlns:vt="http://schemas.openxmlformats.org/officeDocument/2006/docPropsVTypes"/>
</file>