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color w:val="7A1F1F"/>
          <w:sz w:val="72"/>
        </w:rPr>
        <w:t>⚔</w:t>
      </w:r>
    </w:p>
    <w:p>
      <w:pPr>
        <w:pStyle w:val="Title"/>
        <w:jc w:val="center"/>
      </w:pPr>
      <w:r>
        <w:t>Boxa-Radoszewscy herbu Oksza</w:t>
      </w:r>
    </w:p>
    <w:p>
      <w:pPr>
        <w:jc w:val="center"/>
      </w:pPr>
      <w:r>
        <w:rPr>
          <w:color w:val="7A1F1F"/>
          <w:sz w:val="32"/>
        </w:rPr>
        <w:t>Dzieje rodziny od legendy o Wrszowcach do czasów współczesnych</w:t>
      </w:r>
    </w:p>
    <w:p>
      <w:pPr>
        <w:jc w:val="center"/>
      </w:pPr>
    </w:p>
    <w:p>
      <w:pPr>
        <w:jc w:val="center"/>
      </w:pPr>
      <w:r>
        <w:rPr>
          <w:color w:val="6B6258"/>
          <w:sz w:val="22"/>
        </w:rPr>
        <w:t>Opracowanie na podstawie rodzinnego zbioru dokumentów, zapisków i publikacji (źródła S01–S10), z przypisami do każdej informacji</w:t>
      </w:r>
    </w:p>
    <w:p>
      <w:pPr>
        <w:jc w:val="center"/>
      </w:pPr>
    </w:p>
    <w:p>
      <w:pPr>
        <w:jc w:val="center"/>
      </w:pPr>
      <w:r>
        <w:rPr>
          <w:color w:val="6B6258"/>
          <w:sz w:val="22"/>
        </w:rPr>
        <w:t>Wraz z rodzinami spokrewnionymi: Prządzyńskimi h. Grzymała, Drohojowskimi h. Korczak, Grabińskimi h. Pomian, Skrzyńskimi h. Zaremba i in.</w:t>
      </w:r>
    </w:p>
    <w:p>
      <w:pPr>
        <w:spacing w:before="3200"/>
        <w:jc w:val="center"/>
      </w:pPr>
      <w:r>
        <w:rPr>
          <w:color w:val="6B6258"/>
          <w:sz w:val="20"/>
        </w:rPr>
        <w:t>Wersja robocza do przejrzenia przez rodzinę · 19 października 2026</w:t>
      </w:r>
    </w:p>
    <w:p>
      <w:r>
        <w:br w:type="page"/>
      </w:r>
    </w:p>
    <w:p>
      <w:r>
        <w:rPr>
          <w:b/>
          <w:color w:val="7A1F1F"/>
          <w:sz w:val="36"/>
        </w:rPr>
        <w:t>Spis treści</w:t>
      </w:r>
    </w:p>
    <w:p>
      <w:r>
        <w:fldChar w:fldCharType="begin"/>
      </w:r>
      <w:r>
        <w:instrText xml:space="preserve">TOC \o "1-2" \h \z \u</w:instrText>
      </w:r>
      <w:r>
        <w:fldChar w:fldCharType="separate"/>
      </w:r>
      <w:r>
        <w:rPr>
          <w:color w:val="6B6258"/>
        </w:rPr>
        <w:t>Spis treści uzupełni się po otwarciu pliku (Word zapyta o aktualizację pól; można też kliknąć tu prawym przyciskiem i wybrać „Aktualizuj pole”).</w:t>
      </w:r>
      <w:r>
        <w:fldChar w:fldCharType="end"/>
      </w:r>
    </w:p>
    <w:p>
      <w:r>
        <w:br w:type="page"/>
      </w:r>
    </w:p>
    <w:p>
      <w:pPr>
        <w:pStyle w:val="Heading2"/>
      </w:pPr>
      <w:r>
        <w:rPr/>
        <w:t>Od opracowującego</w:t>
      </w:r>
    </w:p>
    <w:p>
      <w:r>
        <w:rPr/>
        <w:t xml:space="preserve">To opracowanie zbiera w jedną opowieść wszystko, co zawiera rodzinny zbiór materiałów o Radoszewskich herbu Oksza i o rodzinach z nimi spokrewnionych. Powstało z dziesięciu źródeł (oznaczonych w przypisach symbolami S01–S10). Najstarsze z nich to wydrukowane w 1885 roku drzewo genealogiczne z </w:t>
      </w:r>
      <w:r>
        <w:rPr>
          <w:i/>
        </w:rPr>
        <w:t>Przewodnika heraldycznego</w:t>
      </w:r>
      <w:r>
        <w:rPr/>
        <w:t xml:space="preserve"> Kosińskiego, sięgające według jego autora początku XVII wieku. Najmłodsze to szkic trasy „szlakiem przodków” z 2017 roku. Pośrodku leżą: dwa rękopisy Stefana Łakomego z Radoszewic (1978 i 1981), monografia dworów ziemi sieradzkiej Leszka Kajzera (ok. 1991) oraz rodzinne zapiski z XX wieku. Wśród nich są przede wszystkim księga rodzinna </w:t>
      </w:r>
      <w:r>
        <w:rPr>
          <w:i/>
        </w:rPr>
        <w:t>The History of Our Family</w:t>
      </w:r>
      <w:r>
        <w:rPr/>
        <w:t>, prowadzona przez Teresę Radoszewską-Zielińską, i zeszyt wspomnień oraz genealogii spisany najpewniej przez Annę z Prządzyńskich Radoszewską. Pełny opis źródeł zawiera Aneks B.</w:t>
      </w:r>
    </w:p>
    <w:p>
      <w:r>
        <w:rPr/>
        <w:t>Kilka zasad, którymi się kierowałem:</w:t>
      </w:r>
    </w:p>
    <w:p>
      <w:pPr>
        <w:pStyle w:val="ListBullet"/>
        <w:spacing w:after="60"/>
      </w:pPr>
      <w:r>
        <w:rPr>
          <w:b/>
        </w:rPr>
        <w:t>Każda informacja ma przypis do źródła.</w:t>
      </w:r>
      <w:r>
        <w:rPr/>
        <w:t xml:space="preserve"> Przypis podaje źródło i stronę, a w nawiasie identyfikator fragmentu transkrypcji (np. </w:t>
      </w:r>
      <w:r>
        <w:rPr>
          <w:color w:val="6B6258"/>
          <w:sz w:val="16"/>
        </w:rPr>
        <w:t>[S01-p141-s04]</w:t>
      </w:r>
      <w:r>
        <w:rPr/>
        <w:t xml:space="preserve"> — strona 141 przewodnika Kosińskiego, akapit o Imbramie). Po tym identyfikatorze w bazie danych i na stronie internetowej rodziny można odnaleźć zdjęcie oryginalnej strony i dosłowny cytat.</w:t>
      </w:r>
    </w:p>
    <w:p>
      <w:pPr>
        <w:pStyle w:val="ListBullet"/>
        <w:spacing w:after="60"/>
      </w:pPr>
      <w:r>
        <w:rPr>
          <w:b/>
        </w:rPr>
        <w:t>Rozbieżności nie są rozstrzygane na siłę.</w:t>
      </w:r>
      <w:r>
        <w:rPr/>
        <w:t xml:space="preserve"> Gdy źródła podają różne daty, imiona lub fakty, opisuję wszystkie wersje i wskazuję, skąd pochodzi każda z nich. Własne przypuszczenia oznaczam wyraźnie jako uwagi opracowującego.</w:t>
      </w:r>
    </w:p>
    <w:p>
      <w:pPr>
        <w:pStyle w:val="ListBullet"/>
        <w:spacing w:after="60"/>
      </w:pPr>
      <w:r>
        <w:rPr>
          <w:b/>
        </w:rPr>
        <w:t>Odczyty niepewne</w:t>
      </w:r>
      <w:r>
        <w:rPr/>
        <w:t xml:space="preserve"> zachowują znak [?]. Dotyczy to zwłaszcza nazwisk w rękopisach, których nie udało się odczytać z całą pewnością. Lista wszystkich wątpliwości jest w pliku </w:t>
      </w:r>
      <w:r>
        <w:rPr>
          <w:rFonts w:ascii="Consolas" w:hAnsi="Consolas"/>
          <w:sz w:val="19"/>
        </w:rPr>
        <w:t>dane/watpliwosci.md</w:t>
      </w:r>
      <w:r>
        <w:rPr/>
        <w:t>. Wiele z nich może rozstrzygnąć pamięć rodziny.</w:t>
      </w:r>
    </w:p>
    <w:p>
      <w:pPr>
        <w:pStyle w:val="ListBullet"/>
        <w:spacing w:after="60"/>
      </w:pPr>
      <w:r>
        <w:rPr>
          <w:b/>
        </w:rPr>
        <w:t>Tło historyczne</w:t>
      </w:r>
      <w:r>
        <w:rPr/>
        <w:t xml:space="preserve"> (daty bitew, panowania królów itp.) dodaję tylko tam, gdzie pomaga zrozumieć źródło. Pochodzi ono z ogólnej wiedzy historycznej, nie z rodzinnych materiałów, i jest oznaczone jako uwaga.</w:t>
      </w:r>
    </w:p>
    <w:p>
      <w:pPr>
        <w:pStyle w:val="ListBullet"/>
        <w:spacing w:after="60"/>
      </w:pPr>
      <w:r>
        <w:rPr/>
        <w:t>Imiona i nazwiska podaję w pisowni współczesnej (Maria zamiast Marja, Krempa zgodnie ze źródłami rodzinnymi, choć urzędowo wieś nazywa się dziś Krępa).</w:t>
      </w:r>
    </w:p>
    <w:p>
      <w:pPr>
        <w:pStyle w:val="Heading1"/>
        <w:pageBreakBefore w:val="0"/>
      </w:pPr>
      <w:r>
        <w:rPr/>
        <w:t>1. Herb, przydomek i legenda o pochodzeniu</w:t>
      </w:r>
    </w:p>
    <w:p>
      <w:pPr>
        <w:pStyle w:val="Heading2"/>
      </w:pPr>
      <w:r>
        <w:rPr/>
        <w:t>Herb Oksza i dewiza</w:t>
      </w:r>
    </w:p>
    <w:p>
      <w:r>
        <w:rPr/>
        <w:t xml:space="preserve">Radoszewscy pieczętowali się herbem </w:t>
      </w:r>
      <w:r>
        <w:rPr>
          <w:b/>
        </w:rPr>
        <w:t>Oksza</w:t>
      </w:r>
      <w:r>
        <w:rPr/>
        <w:t>. Zeszyt rodzinny opisuje go tak: w polu czerwonym oksza (topór), czyli srebrna halabarda ostrzem w prawo. Dodaje, że był to „herb możnej rodziny czeskiej Werszowców”.</w:t>
      </w:r>
      <w:r>
        <w:rPr>
          <w:rStyle w:val="FootnoteReference"/>
        </w:rPr>
        <w:footnoteReference w:id="1"/>
      </w:r>
      <w:r>
        <w:rPr/>
        <w:t xml:space="preserve"> Dewizą rodu jest </w:t>
      </w:r>
      <w:r>
        <w:rPr>
          <w:b/>
        </w:rPr>
        <w:t>„Noli me tangere”</w:t>
      </w:r>
      <w:r>
        <w:rPr/>
        <w:t>, czyli „nie dotykaj mnie”. Zapisały ją obie autorki XX-wiecznych zapisków.</w:t>
      </w:r>
      <w:r>
        <w:rPr>
          <w:rStyle w:val="FootnoteReference"/>
        </w:rPr>
        <w:footnoteReference w:id="2"/>
      </w:r>
      <w:r>
        <w:rPr/>
        <w:t xml:space="preserve"> Herb Oksza zdobił szczyt dworu w Krempie i ex libris tamtejszej biblioteki. Do dziś widnieje na ławce kolatorskiej w kościele w Niemysłowie.</w:t>
      </w:r>
      <w:r>
        <w:rPr>
          <w:rStyle w:val="FootnoteReference"/>
        </w:rPr>
        <w:footnoteReference w:id="3"/>
      </w:r>
    </w:p>
    <w:p>
      <w:pPr>
        <w:pStyle w:val="Heading2"/>
      </w:pPr>
      <w:r>
        <w:rPr/>
        <w:t>Przydomek Boxa</w:t>
      </w:r>
    </w:p>
    <w:p>
      <w:r>
        <w:rPr/>
        <w:t xml:space="preserve">Do nazwiska rodzina dodawała przydomek </w:t>
      </w:r>
      <w:r>
        <w:rPr>
          <w:b/>
        </w:rPr>
        <w:t>Boxa</w:t>
      </w:r>
      <w:r>
        <w:rPr/>
        <w:t xml:space="preserve"> (Boksa, Boksza): Boxa-Radoszewscy, Box-Radoszewscy, „z Siemkowic Boksa Radoszewscy”. Źródła tłumaczą go różnie:</w:t>
      </w:r>
    </w:p>
    <w:p>
      <w:pPr>
        <w:pStyle w:val="ListBullet"/>
        <w:spacing w:after="60"/>
      </w:pPr>
      <w:r>
        <w:rPr/>
        <w:t xml:space="preserve">Drzewo genealogiczne u Kosińskiego wywodzi przydomek od wojewody sandomierskiego </w:t>
      </w:r>
      <w:r>
        <w:rPr>
          <w:b/>
        </w:rPr>
        <w:t>Stogniewa-Bogusława, zwanego Boksą</w:t>
      </w:r>
      <w:r>
        <w:rPr/>
        <w:t>. Kosiński objaśnia w przypisie, że imię Bogusław skracano do Bogusz, a z Bogusza powstała Boksza. Wojewoda miał nosić słowiańskie imię Stogniew i chrzestne Bogusław. Ze względu na jego znaczenie potomkowie mieli przyjąć zdrobnienie Boksza jako przydomek.</w:t>
      </w:r>
      <w:r>
        <w:rPr>
          <w:rStyle w:val="FootnoteReference"/>
        </w:rPr>
        <w:footnoteReference w:id="4"/>
      </w:r>
    </w:p>
    <w:p>
      <w:pPr>
        <w:pStyle w:val="ListBullet"/>
        <w:spacing w:after="60"/>
      </w:pPr>
      <w:r>
        <w:rPr/>
        <w:t>Stefan Łakomy sądzi, że przydomek służył odróżnieniu możnych Radoszewskich od drobnej szlachty Okszyców. Mieszkała ona w samych Radoszewicach i w sąsiednich wsiach, w Siemkowicach i Chorzewie.</w:t>
      </w:r>
      <w:r>
        <w:rPr>
          <w:rStyle w:val="FootnoteReference"/>
        </w:rPr>
        <w:footnoteReference w:id="5"/>
      </w:r>
    </w:p>
    <w:p>
      <w:pPr>
        <w:pStyle w:val="ListBullet"/>
        <w:spacing w:after="60"/>
      </w:pPr>
      <w:r>
        <w:rPr/>
        <w:t xml:space="preserve">Według Leszka Kajzera przydomek nosił już XV-wieczny protoplasta linii radoszewickiej </w:t>
      </w:r>
      <w:r>
        <w:rPr>
          <w:b/>
        </w:rPr>
        <w:t>Bogusław-Boksza</w:t>
      </w:r>
      <w:r>
        <w:rPr/>
        <w:t>, syn Imbrama. W XVII i XVIII wieku rodzina pisała się „z Siemkowic Boksa Radoszewscy”, pamiętając o swoim gnieździe.</w:t>
      </w:r>
      <w:r>
        <w:rPr>
          <w:rStyle w:val="FootnoteReference"/>
        </w:rPr>
        <w:footnoteReference w:id="6"/>
      </w:r>
    </w:p>
    <w:p>
      <w:pPr>
        <w:pStyle w:val="Heading2"/>
      </w:pPr>
      <w:r>
        <w:rPr/>
        <w:t>Legenda o Wrszowcach</w:t>
      </w:r>
    </w:p>
    <w:p>
      <w:r>
        <w:rPr/>
        <w:t xml:space="preserve">Wszystkie źródła, od drzewa XVII-wiecznego po zapiski z XXI wieku, powtarzają tę samą tradycję. Ród wywodzi się od czeskich </w:t>
      </w:r>
      <w:r>
        <w:rPr>
          <w:b/>
        </w:rPr>
        <w:t>Wrszowców</w:t>
      </w:r>
      <w:r>
        <w:rPr/>
        <w:t xml:space="preserve"> (Werszowców), którzy po zabójstwie księcia czeskiego Świętopełka schronili się w Polsce. Od Bolesława Krzywoustego mieli otrzymać ziemię nad Wartą, z Siemkowicami i Radoszewicami.</w:t>
      </w:r>
    </w:p>
    <w:p>
      <w:r>
        <w:rPr/>
        <w:t>Szczegóły różnią się w zależności od źródła:</w:t>
      </w:r>
    </w:p>
    <w:p>
      <w:pPr>
        <w:pStyle w:val="ListBullet"/>
        <w:spacing w:after="60"/>
      </w:pPr>
      <w:r>
        <w:rPr>
          <w:b/>
        </w:rPr>
        <w:t>Drzewo u Kosińskiego</w:t>
      </w:r>
      <w:r>
        <w:rPr/>
        <w:t xml:space="preserve"> zaczyna się od „Comes Joannes I seu Stogneus” (komesa Jana I, czyli Stogniewa). Nazywa go „satrapą czeskim z wielkiego domu hrabiów Werszowców”, który „prześladowany od swoich panów” przeniósł się do Polski. Od Krzywoustego miał otrzymać na utrzymanie trzydzieści wsi w ziemiach sieradzkiej i wieluńskiej. Drzewo wymienia wśród nich Siemkowice, Radoszewice, Popów, Broszęcin, Stróżę, Lipnik i Dylów.</w:t>
      </w:r>
      <w:r>
        <w:rPr>
          <w:rStyle w:val="FootnoteReference"/>
        </w:rPr>
        <w:footnoteReference w:id="7"/>
      </w:r>
      <w:r>
        <w:rPr/>
        <w:t xml:space="preserve"> Kosiński dodaje, że według drzewa ten Jan Werszowiec nosił słowiańskie imię Stogniew. Imię to brali potem jego potomkowie „prawie aż do XVII wieku, tak że w każdym pokoleniu można je napotkać”.</w:t>
      </w:r>
      <w:r>
        <w:rPr>
          <w:rStyle w:val="FootnoteReference"/>
        </w:rPr>
        <w:footnoteReference w:id="8"/>
      </w:r>
    </w:p>
    <w:p>
      <w:pPr>
        <w:pStyle w:val="ListBullet"/>
        <w:spacing w:after="60"/>
      </w:pPr>
      <w:r>
        <w:rPr>
          <w:b/>
          <w:i/>
        </w:rPr>
        <w:t>Słownik geograficzny Królestwa Polskiego</w:t>
      </w:r>
      <w:r>
        <w:rPr/>
        <w:t xml:space="preserve"> (t. IX, 1888), cytowany przez Łakomego, podaje za herbarzami Okolskiego i Niesieckiego, że Radoszewice nadał Bolesław Krzywousty „wychodźcy czeskiemu Janowi (Geskowi) Wrszowcowi, zabójcy ks. Świętopełka”. Słownik dodaje: „Dał on tu początek Okszycom, który [którzy] od wsi przybrali nazwisko Radoszewskich i Siemkowskich”.</w:t>
      </w:r>
      <w:r>
        <w:rPr>
          <w:rStyle w:val="FootnoteReference"/>
        </w:rPr>
        <w:footnoteReference w:id="9"/>
      </w:r>
    </w:p>
    <w:p>
      <w:pPr>
        <w:pStyle w:val="ListBullet"/>
        <w:spacing w:after="60"/>
      </w:pPr>
      <w:r>
        <w:rPr>
          <w:b/>
        </w:rPr>
        <w:t>Zeszyt rodzinny</w:t>
      </w:r>
      <w:r>
        <w:rPr/>
        <w:t xml:space="preserve"> podaje: „W 1103 r. Jesko (Jan) zabił Świętopełka, księcia czeskiego, który z cesarzem niemieckim Henrykiem V napadł na Polskę”. W tym samym roku miał też dostać od Krzywoustego Siemkowice i Radoszewice.</w:t>
      </w:r>
      <w:r>
        <w:rPr>
          <w:rStyle w:val="FootnoteReference"/>
        </w:rPr>
        <w:footnoteReference w:id="10"/>
      </w:r>
      <w:r>
        <w:rPr/>
        <w:t xml:space="preserve"> </w:t>
      </w:r>
      <w:r>
        <w:rPr>
          <w:i/>
        </w:rPr>
        <w:t>(Uwaga: według historiografii książę Świętopełk zginął w 1109 roku.)</w:t>
      </w:r>
    </w:p>
    <w:p>
      <w:pPr>
        <w:pStyle w:val="ListBullet"/>
        <w:spacing w:after="60"/>
      </w:pPr>
      <w:r>
        <w:rPr>
          <w:b/>
        </w:rPr>
        <w:t>Leszek Kajzer</w:t>
      </w:r>
      <w:r>
        <w:rPr/>
        <w:t xml:space="preserve"> sięga do kroniki Kosmasa. Wynika z niej, że Świętopełka zamordował na polowaniu rycerz nasłany przez </w:t>
      </w:r>
      <w:r>
        <w:rPr>
          <w:b/>
        </w:rPr>
        <w:t>Jana, syna Czesty</w:t>
      </w:r>
      <w:r>
        <w:rPr/>
        <w:t xml:space="preserve"> z rodu Wrszowców. Wrszowców, którzy przeżyli, prześladowano, a ich resztka zbiegła do Polski i otrzymała nadania od Krzywoustego.</w:t>
      </w:r>
      <w:r>
        <w:rPr>
          <w:rStyle w:val="FootnoteReference"/>
        </w:rPr>
        <w:footnoteReference w:id="11"/>
      </w:r>
      <w:r>
        <w:rPr/>
        <w:t xml:space="preserve"> Kajzer przytacza też kronikarza Marcina Bielskiego, sąsiada Siemkowic z pobliskiej Białej. Bielski pisał, że „Czystes Wierszowic” zbudował w Siemkowicach „zameczek, onych czasów dość mocny, między wodą i lasy”, a matka Joachima Bielskiego była Siemkowską herbu Oksza.</w:t>
      </w:r>
      <w:r>
        <w:rPr>
          <w:rStyle w:val="FootnoteReference"/>
        </w:rPr>
        <w:footnoteReference w:id="12"/>
      </w:r>
    </w:p>
    <w:p>
      <w:r>
        <w:rPr/>
        <w:t>Jak ocenić tę legendę? Kosiński, publikując drzewo, ostrzegał, że pierwsze pokolenia, aż do wojewody Boksy, „mogą ulegać wątpliwości”. Za pewne uważał je dopiero od początku XV wieku, bo sam porównał je z aktami grodzkimi i ziemskimi sieradzkimi i wieluńskimi.</w:t>
      </w:r>
      <w:r>
        <w:rPr>
          <w:rStyle w:val="FootnoteReference"/>
        </w:rPr>
        <w:footnoteReference w:id="13"/>
      </w:r>
      <w:r>
        <w:rPr/>
        <w:t xml:space="preserve"> Kajzer pisze, że wersja o czeskim pochodzeniu „nie jest do końca pewna”, ale jest „przekazem dość wiarygodnym”. Przypomina, że czescy uciekinierzy nieraz osiedlali się w Polsce, np. Sławnikowice, z których wywodził się św. Wojciech. Legendę uznaje za „bardzo prawdopodobną”, choć niepotwierdzoną bezpośrednio w źródłach do dziejów Siemkowic.</w:t>
      </w:r>
      <w:r>
        <w:rPr>
          <w:rStyle w:val="FootnoteReference"/>
        </w:rPr>
        <w:footnoteReference w:id="14"/>
      </w:r>
    </w:p>
    <w:p>
      <w:pPr>
        <w:pStyle w:val="Heading1"/>
        <w:pageBreakBefore/>
      </w:pPr>
      <w:r>
        <w:rPr/>
        <w:t>2. Drzewo z początku XVII wieku: pokolenia legendarne</w:t>
      </w:r>
    </w:p>
    <w:p>
      <w:pPr>
        <w:pStyle w:val="Heading2"/>
      </w:pPr>
      <w:r>
        <w:rPr/>
        <w:t>Skąd pochodzi drzewo</w:t>
      </w:r>
    </w:p>
    <w:p>
      <w:r>
        <w:rPr/>
        <w:t xml:space="preserve">W 1885 roku Adam Amilkar Kosiński wydawał w Warszawie V tom </w:t>
      </w:r>
      <w:r>
        <w:rPr>
          <w:i/>
        </w:rPr>
        <w:t>Przewodnika heraldycznego</w:t>
      </w:r>
      <w:r>
        <w:rPr/>
        <w:t>. Już po oddaniu tomu do druku otrzymał „dawne — bo niezaprzeczenie z pierwszych lat XVII wieku pochodzące — drzewo genealogiczne rodziny Radoszewskich herbu Oksza”. Zamieścił je „prawie dosłownie” jako dodatek do hasła o Grabowskich, bo uważał ich za gałąź Okszyców. Oryginał był ułożony „w kółkach”, a Kosiński podzielił go na pokolenia.</w:t>
      </w:r>
      <w:r>
        <w:rPr>
          <w:rStyle w:val="FootnoteReference"/>
        </w:rPr>
        <w:footnoteReference w:id="15"/>
      </w:r>
      <w:r>
        <w:rPr/>
        <w:t xml:space="preserve"> Drzewo nosiło łaciński tytuł. W przekładzie brzmi on: tablica genealogiczna „wielce zacnego i wielce możnego domu Panów Boksów z Siemkowic na Radoszewicach, Brzoszencinie, Stróży etc. etc. Radoszewskich”, zebrana „z kronik, przywilejów, transakcji, zapisów kościelnych i klasztornych”. Spisano ją „Panu Bogu Najwyższemu na chwałę, Rzeczypospolitej na wiadomość, a familii na zaszczyt i pożytek”.</w:t>
      </w:r>
      <w:r>
        <w:rPr>
          <w:rStyle w:val="FootnoteReference"/>
        </w:rPr>
        <w:footnoteReference w:id="16"/>
      </w:r>
    </w:p>
    <w:p>
      <w:pPr>
        <w:keepNext/>
        <w:jc w:val="center"/>
      </w:pPr>
      <w:r>
        <w:drawing>
          <wp:inline xmlns:a="http://schemas.openxmlformats.org/drawingml/2006/main" xmlns:pic="http://schemas.openxmlformats.org/drawingml/2006/picture">
            <wp:extent cx="4860000" cy="3645000"/>
            <wp:docPr id="1" name="Picture 1"/>
            <wp:cNvGraphicFramePr>
              <a:graphicFrameLocks noChangeAspect="1"/>
            </wp:cNvGraphicFramePr>
            <a:graphic>
              <a:graphicData uri="http://schemas.openxmlformats.org/drawingml/2006/picture">
                <pic:pic>
                  <pic:nvPicPr>
                    <pic:cNvPr id="0" name="IMG_5811-1.jpg"/>
                    <pic:cNvPicPr/>
                  </pic:nvPicPr>
                  <pic:blipFill>
                    <a:blip r:embed="rId10"/>
                    <a:stretch>
                      <a:fillRect/>
                    </a:stretch>
                  </pic:blipFill>
                  <pic:spPr>
                    <a:xfrm>
                      <a:off x="0" y="0"/>
                      <a:ext cx="4860000" cy="3645000"/>
                    </a:xfrm>
                    <a:prstGeom prst="rect"/>
                  </pic:spPr>
                </pic:pic>
              </a:graphicData>
            </a:graphic>
          </wp:inline>
        </w:drawing>
      </w:r>
    </w:p>
    <w:p>
      <w:pPr>
        <w:pStyle w:val="Caption"/>
        <w:jc w:val="center"/>
      </w:pPr>
      <w:r>
        <w:rPr/>
        <w:t xml:space="preserve">Kosiński, </w:t>
      </w:r>
      <w:r>
        <w:rPr>
          <w:i/>
        </w:rPr>
        <w:t>Przewodnik heraldyczny</w:t>
      </w:r>
      <w:r>
        <w:rPr/>
        <w:t xml:space="preserve"> t. V (1885), s. 132–133: wstęp Kosińskiego i początek drzewa Radoszewskich (egzemplarz rodzinny, S01)</w:t>
      </w:r>
    </w:p>
    <w:p>
      <w:r>
        <w:rPr/>
        <w:t xml:space="preserve">Autor drzewa pisze w pierwszej osobie: „jako my wszyscy” Radoszewscy, „wszystko, co mamy”, „widziałem z nich [ksiąg] dużo w Częstochowie”. Był więc członkiem rodziny, najpewniej z pokolenia synów Mikołaja V lub ich dzieci. Egzemplarz </w:t>
      </w:r>
      <w:r>
        <w:rPr>
          <w:i/>
        </w:rPr>
        <w:t>Przewodnika</w:t>
      </w:r>
      <w:r>
        <w:rPr/>
        <w:t xml:space="preserve"> w zbiorze rodzinnym ma odręczne podkreślenia i gwiazdki niebieskim długopisem (s. 136–143) oraz dopisek „85 lat” przy jednym z Mikołajów.</w:t>
      </w:r>
      <w:r>
        <w:rPr>
          <w:rStyle w:val="FootnoteReference"/>
        </w:rPr>
        <w:footnoteReference w:id="17"/>
      </w:r>
    </w:p>
    <w:p>
      <w:r>
        <w:rPr/>
        <w:t xml:space="preserve">Pierwszych siedem pokoleń drzewa trzeba czytać jako </w:t>
      </w:r>
      <w:r>
        <w:rPr>
          <w:b/>
        </w:rPr>
        <w:t>tradycję rodową, a nie historię</w:t>
      </w:r>
      <w:r>
        <w:rPr/>
        <w:t>. Daty w tej części wzajemnie się wykluczają. Przywilej dla Jana II, wnuka protoplasty, datowany jest na 1212 rok. Tymczasem jego wnuk, wojewoda Boksa, miałby umrzeć „około roku 1189”, a zarazem służyć królom panującym po 1243 roku.</w:t>
      </w:r>
      <w:r>
        <w:rPr>
          <w:rStyle w:val="FootnoteReference"/>
        </w:rPr>
        <w:footnoteReference w:id="18"/>
      </w:r>
      <w:r>
        <w:rPr/>
        <w:t xml:space="preserve"> Mimo to drzewo jest bezcenne. Pokazuje, jak rodzina na początku XVII wieku widziała własną przeszłość, i zawiera barwne portrety przodków.</w:t>
      </w:r>
    </w:p>
    <w:p>
      <w:pPr>
        <w:pStyle w:val="Heading2"/>
      </w:pPr>
      <w:r>
        <w:rPr/>
        <w:t>Najdawniejsi przodkowie według drzewa</w:t>
      </w:r>
    </w:p>
    <w:p>
      <w:r>
        <w:rPr>
          <w:b/>
        </w:rPr>
        <w:t>Pokolenie I.</w:t>
      </w:r>
      <w:r>
        <w:rPr/>
        <w:t xml:space="preserve"> </w:t>
      </w:r>
      <w:r>
        <w:rPr>
          <w:i/>
        </w:rPr>
        <w:t>Comes Joannes I seu Stogneus</w:t>
      </w:r>
      <w:r>
        <w:rPr/>
        <w:t>, komes Jan I czyli Stogniew Wrszowiec, przybysz z Czech (zob. wyżej).</w:t>
      </w:r>
      <w:r>
        <w:rPr>
          <w:rStyle w:val="FootnoteReference"/>
        </w:rPr>
        <w:footnoteReference w:id="19"/>
      </w:r>
    </w:p>
    <w:p>
      <w:r>
        <w:rPr>
          <w:b/>
        </w:rPr>
        <w:t>Pokolenie II.</w:t>
      </w:r>
      <w:r>
        <w:rPr/>
        <w:t xml:space="preserve"> Jego synowie to:</w:t>
      </w:r>
    </w:p>
    <w:p>
      <w:pPr>
        <w:pStyle w:val="ListBullet"/>
        <w:spacing w:after="60"/>
      </w:pPr>
      <w:r>
        <w:rPr/>
        <w:t xml:space="preserve">komes </w:t>
      </w:r>
      <w:r>
        <w:rPr>
          <w:b/>
        </w:rPr>
        <w:t>Jan</w:t>
      </w:r>
      <w:r>
        <w:rPr/>
        <w:t>, którego potomstwo „zginęło od Tatarów i od zarazy”;</w:t>
      </w:r>
    </w:p>
    <w:p>
      <w:pPr>
        <w:pStyle w:val="ListBullet"/>
        <w:spacing w:after="60"/>
      </w:pPr>
      <w:r>
        <w:rPr/>
        <w:t xml:space="preserve">komes </w:t>
      </w:r>
      <w:r>
        <w:rPr>
          <w:b/>
        </w:rPr>
        <w:t>Stogniew I</w:t>
      </w:r>
      <w:r>
        <w:rPr/>
        <w:t>, który dostał Radoszewice, Lipnik, Dylów, Ożegów, Raduczyce i inne wsie, razem dziewięć, a po bracie trzymał Siemkowice. Był włodarzem krzepickim i wójtem brzeźnickim. Jego córka wyszła za „pana Dunina, hrabię ze Skrzynna”;</w:t>
      </w:r>
    </w:p>
    <w:p>
      <w:pPr>
        <w:pStyle w:val="ListBullet"/>
        <w:spacing w:after="60"/>
      </w:pPr>
      <w:r>
        <w:rPr/>
        <w:t xml:space="preserve">komes </w:t>
      </w:r>
      <w:r>
        <w:rPr>
          <w:b/>
        </w:rPr>
        <w:t>Racibor</w:t>
      </w:r>
      <w:r>
        <w:rPr/>
        <w:t>, który porzucił Siemkowice i wrócił do Czech. Hetmanił tam i zasiadał w wielkiej radzie, a od niego miały pochodzić czeskie domy Werszowców.</w:t>
      </w:r>
      <w:r>
        <w:rPr>
          <w:rStyle w:val="FootnoteReference"/>
        </w:rPr>
        <w:footnoteReference w:id="20"/>
      </w:r>
    </w:p>
    <w:p>
      <w:r>
        <w:rPr>
          <w:b/>
        </w:rPr>
        <w:t>Pokolenie III.</w:t>
      </w:r>
      <w:r>
        <w:rPr/>
        <w:t xml:space="preserve"> Synami Stogniewa I byli:</w:t>
      </w:r>
    </w:p>
    <w:p>
      <w:pPr>
        <w:pStyle w:val="ListBullet"/>
        <w:spacing w:after="60"/>
      </w:pPr>
      <w:r>
        <w:rPr>
          <w:b/>
        </w:rPr>
        <w:t>Stogniew II</w:t>
      </w:r>
      <w:r>
        <w:rPr/>
        <w:t>, „mąż wielki i rycerski”, kasztelan rozprzański i hetman przeciw Rusi, Ślązakom i Mazurom. Kazimierz Sprawiedliwy dał mu Konopnicę nad Widawą z pięcioma wsiami. Był bezżenny;</w:t>
      </w:r>
    </w:p>
    <w:p>
      <w:pPr>
        <w:pStyle w:val="ListBullet"/>
        <w:spacing w:after="60"/>
      </w:pPr>
      <w:r>
        <w:rPr>
          <w:b/>
        </w:rPr>
        <w:t>Jan II</w:t>
      </w:r>
      <w:r>
        <w:rPr/>
        <w:t>, kasztelan spicymierski i wójt brzeźnicki, któremu książę Leszek nadał Mierzyce przywilejem z 1212 roku.</w:t>
      </w:r>
      <w:r>
        <w:rPr>
          <w:rStyle w:val="FootnoteReference"/>
        </w:rPr>
        <w:footnoteReference w:id="21"/>
      </w:r>
    </w:p>
    <w:p>
      <w:r>
        <w:rPr>
          <w:b/>
        </w:rPr>
        <w:t>Pokolenie IV.</w:t>
      </w:r>
      <w:r>
        <w:rPr/>
        <w:t xml:space="preserve"> Synami Jana II byli:</w:t>
      </w:r>
    </w:p>
    <w:p>
      <w:pPr>
        <w:pStyle w:val="ListBullet"/>
        <w:spacing w:after="60"/>
      </w:pPr>
      <w:r>
        <w:rPr>
          <w:b/>
        </w:rPr>
        <w:t>Stogniew III</w:t>
      </w:r>
      <w:r>
        <w:rPr/>
        <w:t xml:space="preserve">, podczaszy, hojny dla kościołów. Dwóch jego synów zginęło „pod Lignicą” </w:t>
      </w:r>
      <w:r>
        <w:rPr>
          <w:i/>
        </w:rPr>
        <w:t>(bitwa pod Legnicą z Mongołami, 1241)</w:t>
      </w:r>
      <w:r>
        <w:rPr/>
        <w:t>, a trzeci zmarł od zarazy;</w:t>
      </w:r>
    </w:p>
    <w:p>
      <w:pPr>
        <w:pStyle w:val="ListBullet"/>
        <w:spacing w:after="60"/>
      </w:pPr>
      <w:r>
        <w:rPr>
          <w:b/>
        </w:rPr>
        <w:t>Jan III</w:t>
      </w:r>
      <w:r>
        <w:rPr/>
        <w:t>, który „przepadł na Rusi od Tatarów”;</w:t>
      </w:r>
    </w:p>
    <w:p>
      <w:pPr>
        <w:pStyle w:val="ListBullet"/>
        <w:spacing w:after="60"/>
      </w:pPr>
      <w:r>
        <w:rPr>
          <w:b/>
        </w:rPr>
        <w:t>Mikołaj I</w:t>
      </w:r>
      <w:r>
        <w:rPr/>
        <w:t>, „człowiek bardzo ludzki”, sędzia ziemski i wójt pajęczański. Przystawił wieżę do kościoła w Radoszewicach, a w Raduczycach postawił dwór obwiedziony fosą;</w:t>
      </w:r>
    </w:p>
    <w:p>
      <w:pPr>
        <w:pStyle w:val="ListBullet"/>
        <w:spacing w:after="60"/>
      </w:pPr>
      <w:r>
        <w:rPr>
          <w:b/>
        </w:rPr>
        <w:t>Wratysław-Marcin</w:t>
      </w:r>
      <w:r>
        <w:rPr/>
        <w:t>, zabity przez Tatarów razem z dwoma synami. Jego trzeci syn był „wielkim warchołem, na niesławę domu, tak że się go [rodzina] zaparła”.</w:t>
      </w:r>
      <w:r>
        <w:rPr>
          <w:rStyle w:val="FootnoteReference"/>
        </w:rPr>
        <w:footnoteReference w:id="22"/>
      </w:r>
    </w:p>
    <w:p>
      <w:r>
        <w:rPr>
          <w:b/>
        </w:rPr>
        <w:t>Pokolenie V.</w:t>
      </w:r>
      <w:r>
        <w:rPr/>
        <w:t xml:space="preserve"> Synem Mikołaja I był </w:t>
      </w:r>
      <w:r>
        <w:rPr>
          <w:b/>
        </w:rPr>
        <w:t>Stogniew IV, czyli Bogusław, zwany Boksą</w:t>
      </w:r>
      <w:r>
        <w:rPr/>
        <w:t>. Drzewo przedstawia go jako najświetniejszą postać rodu. Był kasztelanem spicymierskim, potem sandomierskim, wreszcie wojewodą sandomierskim. Drzewo nazywa go „mężem pierwszym w radzie” u Bolesława Wstydliwego i Leszka Czarnego oraz „szczęśliwym hetmanem przeciw Rusi, Jaćwingom, Tatarom, Ślązakom i rokoszanom”. Miał posiadać „ponad sto wsi”, ufundować zamek w Siemkowicach i pięć kościołów.</w:t>
      </w:r>
      <w:r>
        <w:rPr>
          <w:rStyle w:val="FootnoteReference"/>
        </w:rPr>
        <w:footnoteReference w:id="23"/>
      </w:r>
      <w:r>
        <w:rPr/>
        <w:t xml:space="preserve"> Kajzer zauważa ostrożnie, że „zamek w Siemkowicach” z tej tradycji odpowiada raczej murowanemu „kamieńcowi” z połowy XV wieku.</w:t>
      </w:r>
      <w:r>
        <w:rPr>
          <w:rStyle w:val="FootnoteReference"/>
        </w:rPr>
        <w:footnoteReference w:id="24"/>
      </w:r>
    </w:p>
    <w:p>
      <w:r>
        <w:rPr>
          <w:b/>
        </w:rPr>
        <w:t>Pokolenie VI.</w:t>
      </w:r>
      <w:r>
        <w:rPr/>
        <w:t xml:space="preserve"> Synami wojewody byli:</w:t>
      </w:r>
    </w:p>
    <w:p>
      <w:pPr>
        <w:pStyle w:val="ListBullet"/>
        <w:spacing w:after="60"/>
      </w:pPr>
      <w:r>
        <w:rPr>
          <w:b/>
        </w:rPr>
        <w:t>Dzierżysław (Dzierżko)</w:t>
      </w:r>
      <w:r>
        <w:rPr/>
        <w:t>, od którego drzewo wywodzi „świątobliwego biskupa Nankiera” oraz Kłomnickich, Zdrowskich i Jałowskich;</w:t>
      </w:r>
    </w:p>
    <w:p>
      <w:pPr>
        <w:pStyle w:val="ListBullet"/>
        <w:spacing w:after="60"/>
      </w:pPr>
      <w:r>
        <w:rPr>
          <w:b/>
        </w:rPr>
        <w:t>Paweł (Paszko)</w:t>
      </w:r>
      <w:r>
        <w:rPr/>
        <w:t>, bezżenny;</w:t>
      </w:r>
    </w:p>
    <w:p>
      <w:pPr>
        <w:pStyle w:val="ListBullet"/>
        <w:spacing w:after="60"/>
      </w:pPr>
      <w:r>
        <w:rPr>
          <w:b/>
        </w:rPr>
        <w:t>Stogniew V Boksic</w:t>
      </w:r>
      <w:r>
        <w:rPr/>
        <w:t>, sędzia lelowski, który „rycersko stawał przeciw Krzyżakom”. Łokietek nadał mu Wąsosz z młynami i przewóz na Warcie. Drzewo mówi o nim, że był „bardzo surowy, nikomu nie folgował, ale niesprawiedliwości nie czynił”;</w:t>
      </w:r>
    </w:p>
    <w:p>
      <w:pPr>
        <w:pStyle w:val="ListBullet"/>
        <w:spacing w:after="60"/>
      </w:pPr>
      <w:r>
        <w:rPr>
          <w:b/>
        </w:rPr>
        <w:t>Mikołaj II zwany Wątróbką</w:t>
      </w:r>
      <w:r>
        <w:rPr/>
        <w:t xml:space="preserve"> „dla czerwonych lic”, cześnik i sędzia sieradzki. Ufundował kościoły w Strzelcach i Szumsku, a od niego drzewo wywodzi Strzeleckich i Gosławskich;</w:t>
      </w:r>
    </w:p>
    <w:p>
      <w:pPr>
        <w:pStyle w:val="ListBullet"/>
        <w:spacing w:after="60"/>
      </w:pPr>
      <w:r>
        <w:rPr>
          <w:b/>
        </w:rPr>
        <w:t>Jan IV zwany Ryjem</w:t>
      </w:r>
      <w:r>
        <w:rPr/>
        <w:t xml:space="preserve"> „dla odętej wargi”, stolnik Kazimierza Wielkiego, „w lekach biegły, tak że stał ponad doktorami”. Od niego mieli pochodzić Rejowie: drzewo wymienia „pana Mikołaja, poetę wielkiego”, który „ksiąg wiele zostawił, ale herezją zarażony”. Wywodzi też od niego Orzechowskich i Czechowskich.</w:t>
      </w:r>
      <w:r>
        <w:rPr>
          <w:rStyle w:val="FootnoteReference"/>
        </w:rPr>
        <w:footnoteReference w:id="25"/>
      </w:r>
    </w:p>
    <w:p>
      <w:r>
        <w:rPr>
          <w:b/>
        </w:rPr>
        <w:t>Pokolenie VII.</w:t>
      </w:r>
      <w:r>
        <w:rPr/>
        <w:t xml:space="preserve"> Synami Stogniewa V byli:</w:t>
      </w:r>
    </w:p>
    <w:p>
      <w:pPr>
        <w:pStyle w:val="ListBullet"/>
        <w:spacing w:after="60"/>
      </w:pPr>
      <w:r>
        <w:rPr>
          <w:b/>
        </w:rPr>
        <w:t>Jan V</w:t>
      </w:r>
      <w:r>
        <w:rPr/>
        <w:t xml:space="preserve"> z Raduczyc, „skory do kości i do podwik”, który roztrwonił połowę mienia. Żonę miał z Koziegłowskich, „białogłowę cudną”, ale z nią nie żył, a ona została potem mniszką w Imbramowicach;</w:t>
      </w:r>
    </w:p>
    <w:p>
      <w:pPr>
        <w:pStyle w:val="ListBullet"/>
        <w:spacing w:after="60"/>
      </w:pPr>
      <w:r>
        <w:rPr>
          <w:b/>
        </w:rPr>
        <w:t>Mikołaj III Boksic</w:t>
      </w:r>
      <w:r>
        <w:rPr/>
        <w:t>, „mąż stateczny”, pochowany w Pajęcznie, „przeżywszy ponad osiemdziesiąt lat”;</w:t>
      </w:r>
    </w:p>
    <w:p>
      <w:pPr>
        <w:pStyle w:val="ListBullet"/>
        <w:spacing w:after="60"/>
      </w:pPr>
      <w:r>
        <w:rPr>
          <w:b/>
        </w:rPr>
        <w:t>Stogniew VI</w:t>
      </w:r>
      <w:r>
        <w:rPr/>
        <w:t>, dobrodziej Jasnej Góry. Od niego drzewo wywodzi Konopnickich z Konopnicy i Grabowskich;</w:t>
      </w:r>
    </w:p>
    <w:p>
      <w:pPr>
        <w:pStyle w:val="ListBullet"/>
        <w:spacing w:after="60"/>
      </w:pPr>
      <w:r>
        <w:rPr>
          <w:b/>
        </w:rPr>
        <w:t>Dzierżysław II zwany Siekierką</w:t>
      </w:r>
      <w:r>
        <w:rPr/>
        <w:t xml:space="preserve"> „od klejnotu”, „wielki gładysz”, protoplasta Błeszyńskich.</w:t>
      </w:r>
      <w:r>
        <w:rPr>
          <w:rStyle w:val="FootnoteReference"/>
        </w:rPr>
        <w:footnoteReference w:id="26"/>
      </w:r>
    </w:p>
    <w:p>
      <w:r>
        <w:rPr/>
        <w:t xml:space="preserve">Ten łańcuch rodów rzekomo wywodzących się od Okszyców to typowe dla dawnych genealogii </w:t>
      </w:r>
      <w:r>
        <w:rPr>
          <w:b/>
        </w:rPr>
        <w:t>„rozrodzenie” herbu</w:t>
      </w:r>
      <w:r>
        <w:rPr/>
        <w:t>. Kosiński zamieścił drzewo właśnie dlatego, że „rzuca ważne światło na rozrodzenie się Okszyców”.</w:t>
      </w:r>
      <w:r>
        <w:rPr>
          <w:rStyle w:val="FootnoteReference"/>
        </w:rPr>
        <w:footnoteReference w:id="27"/>
      </w:r>
    </w:p>
    <w:p>
      <w:pPr>
        <w:pStyle w:val="Heading1"/>
        <w:pageBreakBefore/>
      </w:pPr>
      <w:r>
        <w:rPr/>
        <w:t>3. Imbram z Siemkowic i podział na dwie linie (XV wiek)</w:t>
      </w:r>
    </w:p>
    <w:p>
      <w:pPr>
        <w:pStyle w:val="Heading2"/>
      </w:pPr>
      <w:r>
        <w:rPr/>
        <w:t>Pierwszy przodek poświadczony w dokumentach</w:t>
      </w:r>
    </w:p>
    <w:p>
      <w:r>
        <w:rPr/>
        <w:t xml:space="preserve">Od pokolenia VIII drzewo Kosińskiego spotyka się z dokumentami. </w:t>
      </w:r>
      <w:r>
        <w:rPr>
          <w:b/>
        </w:rPr>
        <w:t>Imbram (Imram) zwany Boksą</w:t>
      </w:r>
      <w:r>
        <w:rPr/>
        <w:t xml:space="preserve"> jest pierwszym przodkiem znanym z akt sądowych. Kajzer notuje go w dokumentach z lat </w:t>
      </w:r>
      <w:r>
        <w:rPr>
          <w:b/>
        </w:rPr>
        <w:t>1412 i 1413</w:t>
      </w:r>
      <w:r>
        <w:rPr/>
        <w:t xml:space="preserve"> jako wspólnego przodka Radoszewskich i Siemkowskich.</w:t>
      </w:r>
      <w:r>
        <w:rPr>
          <w:rStyle w:val="FootnoteReference"/>
        </w:rPr>
        <w:footnoteReference w:id="28"/>
      </w:r>
      <w:r>
        <w:rPr/>
        <w:t xml:space="preserve"> Zeszyt rodzinny otwiera właśnie od niego drzewo „linii prostej”: „Imbram z Siemkowic 1412”.</w:t>
      </w:r>
      <w:r>
        <w:rPr>
          <w:rStyle w:val="FootnoteReference"/>
        </w:rPr>
        <w:footnoteReference w:id="29"/>
      </w:r>
    </w:p>
    <w:p>
      <w:r>
        <w:rPr/>
        <w:t xml:space="preserve">Drzewo opisuje Imbrama jako „pana rządnego i wielkiego myśliwego”. Według niego Imbram całe dnie polował w lasach i „znał się na zwierzynie” tak, że król dał mu folwark koło Krzepic, aby doglądał bobrów. Miał dostać Siemkowice z folwarkami i Radoszewice z połową Czernic. Po żonie, </w:t>
      </w:r>
      <w:r>
        <w:rPr>
          <w:b/>
        </w:rPr>
        <w:t>Jachnie z Osjakowa z domu Larysów</w:t>
      </w:r>
      <w:r>
        <w:rPr/>
        <w:t>, otrzymał część w Osjakowie. Miał trzech synów i córki.</w:t>
      </w:r>
      <w:r>
        <w:rPr>
          <w:rStyle w:val="FootnoteReference"/>
        </w:rPr>
        <w:footnoteReference w:id="30"/>
      </w:r>
      <w:r>
        <w:rPr/>
        <w:t xml:space="preserve"> Jego brat </w:t>
      </w:r>
      <w:r>
        <w:rPr>
          <w:b/>
        </w:rPr>
        <w:t>Stogniew VII</w:t>
      </w:r>
      <w:r>
        <w:rPr/>
        <w:t xml:space="preserve">, „jakby do wojny stworzony”, miał podobno łamać podkowy i zatrzymywać wozy w biegu. Za króla Władysława wyprawił się z dziesięcioma ludźmi na Węgry i „z innymi dał gardło pod Warną” </w:t>
      </w:r>
      <w:r>
        <w:rPr>
          <w:i/>
        </w:rPr>
        <w:t>(10 listopada 1444)</w:t>
      </w:r>
      <w:r>
        <w:rPr/>
        <w:t>.</w:t>
      </w:r>
      <w:r>
        <w:rPr>
          <w:rStyle w:val="FootnoteReference"/>
        </w:rPr>
        <w:footnoteReference w:id="31"/>
      </w:r>
    </w:p>
    <w:p>
      <w:r>
        <w:rPr/>
        <w:t>Majątek Imbrama obejmował klucz siemkowicki: Siemkowice, Chorzew, Wręczycę, Broszęcin, Zielęcin i Bogumiłowice.</w:t>
      </w:r>
      <w:r>
        <w:rPr>
          <w:rStyle w:val="FootnoteReference"/>
        </w:rPr>
        <w:footnoteReference w:id="32"/>
      </w:r>
      <w:r>
        <w:rPr/>
        <w:t xml:space="preserve"> Same Siemkowice pojawiają się w źródłach pisanych w latach 1401 i 1403.</w:t>
      </w:r>
      <w:r>
        <w:rPr>
          <w:rStyle w:val="FootnoteReference"/>
        </w:rPr>
        <w:footnoteReference w:id="33"/>
      </w:r>
    </w:p>
    <w:p>
      <w:pPr>
        <w:pStyle w:val="Heading2"/>
      </w:pPr>
      <w:r>
        <w:rPr/>
        <w:t>Dział ojcowizny około 1430–1440</w:t>
      </w:r>
    </w:p>
    <w:p>
      <w:r>
        <w:rPr/>
        <w:t xml:space="preserve">Około </w:t>
      </w:r>
      <w:r>
        <w:rPr>
          <w:b/>
        </w:rPr>
        <w:t>1430–1440</w:t>
      </w:r>
      <w:r>
        <w:rPr/>
        <w:t xml:space="preserve"> majątek Imbrama podzielono między synów. Według Kajzera:</w:t>
      </w:r>
      <w:r>
        <w:rPr>
          <w:rStyle w:val="FootnoteReference"/>
        </w:rPr>
        <w:footnoteReference w:id="34"/>
      </w:r>
    </w:p>
    <w:p>
      <w:pPr>
        <w:pStyle w:val="ListBullet"/>
        <w:spacing w:after="60"/>
      </w:pPr>
      <w:r>
        <w:rPr>
          <w:b/>
        </w:rPr>
        <w:t>Stogniew (Stoigniew, Stegniew)</w:t>
      </w:r>
      <w:r>
        <w:rPr/>
        <w:t xml:space="preserve"> otrzymał podstawową część ojcowizny z Siemkowicami i stał się protoplastą </w:t>
      </w:r>
      <w:r>
        <w:rPr>
          <w:b/>
        </w:rPr>
        <w:t>Siemkowskich</w:t>
      </w:r>
      <w:r>
        <w:rPr/>
        <w:t>;</w:t>
      </w:r>
    </w:p>
    <w:p>
      <w:pPr>
        <w:pStyle w:val="ListBullet"/>
        <w:spacing w:after="60"/>
      </w:pPr>
      <w:r>
        <w:rPr>
          <w:b/>
        </w:rPr>
        <w:t>Bogusław-Boksza</w:t>
      </w:r>
      <w:r>
        <w:rPr/>
        <w:t xml:space="preserve"> otrzymał Radoszewice z okolicznymi wsiami, czyli Lipnikiem i Broszęcinem, i stał się protoplastą </w:t>
      </w:r>
      <w:r>
        <w:rPr>
          <w:b/>
        </w:rPr>
        <w:t>Radoszewskich</w:t>
      </w:r>
      <w:r>
        <w:rPr/>
        <w:t>.</w:t>
      </w:r>
    </w:p>
    <w:p>
      <w:r>
        <w:rPr/>
        <w:t>Drzewo z XVII wieku opisuje to tak samo. Bogusław „wziął Radoszewice z folwarkami i od nich [został] nazwany — jak my wszyscy — ale pisał się z Siemkowic, bo stamtąd się wywodzimy, a przydomek Boksa brał po ojcu i dziadach”. Był „w życiu skromny i oszczędny”, tak że zebrał duży majątek. Miał trzy żony, a przeżyło go czterech synów.</w:t>
      </w:r>
      <w:r>
        <w:rPr>
          <w:rStyle w:val="FootnoteReference"/>
        </w:rPr>
        <w:footnoteReference w:id="35"/>
      </w:r>
      <w:r>
        <w:rPr/>
        <w:t xml:space="preserve"> Zeszyt rodzinny podaje przy nim daty „1441 z Radoszewic” i „†1459”.</w:t>
      </w:r>
      <w:r>
        <w:rPr>
          <w:rStyle w:val="FootnoteReference"/>
        </w:rPr>
        <w:footnoteReference w:id="36"/>
      </w:r>
      <w:r>
        <w:rPr/>
        <w:t xml:space="preserve"> Najstarszy syn Imbrama, </w:t>
      </w:r>
      <w:r>
        <w:rPr>
          <w:b/>
        </w:rPr>
        <w:t>Stogniew VIII</w:t>
      </w:r>
      <w:r>
        <w:rPr/>
        <w:t>, zmarł młodo w Pradze, dokąd posłano go na naukę.</w:t>
      </w:r>
      <w:r>
        <w:rPr>
          <w:rStyle w:val="FootnoteReference"/>
        </w:rPr>
        <w:footnoteReference w:id="37"/>
      </w:r>
    </w:p>
    <w:p>
      <w:r>
        <w:rPr>
          <w:b/>
        </w:rPr>
        <w:t>Stogniew Imbramicz</w:t>
      </w:r>
      <w:r>
        <w:rPr/>
        <w:t>, czyli syn Imbrama, był według drzewa „w prawie biegły, tak że znał statuty na pamięć”. Został podsędkiem sieradzkim, a potem cześnikiem. Przeciw Krzyżakom wystawił pięciu ludzi i posłał ich z synem Janem do Prus. Zmarł na apopleksję i spoczął w Pajęcznie.</w:t>
      </w:r>
      <w:r>
        <w:rPr>
          <w:rStyle w:val="FootnoteReference"/>
        </w:rPr>
        <w:footnoteReference w:id="38"/>
      </w:r>
      <w:r>
        <w:rPr/>
        <w:t xml:space="preserve"> Zeszyt rodzinny notuje go pod rokiem 1467 z dopiskiem „kamienny tam dom”.</w:t>
      </w:r>
      <w:r>
        <w:rPr>
          <w:rStyle w:val="FootnoteReference"/>
        </w:rPr>
        <w:footnoteReference w:id="39"/>
      </w:r>
      <w:r>
        <w:rPr/>
        <w:t xml:space="preserve"> Kajzer przypisuje mu, choć ostrożnie, zbudowanie w Siemkowicach murowanego </w:t>
      </w:r>
      <w:r>
        <w:rPr>
          <w:b/>
        </w:rPr>
        <w:t>„kamieńca”</w:t>
      </w:r>
      <w:r>
        <w:rPr/>
        <w:t xml:space="preserve"> w latach około 1441–1456. Był to kamienny dom obronny na sztucznym kopcu otoczonym fosą, o wymiarach 9,8 × 10,2 m, z murami grubymi do 2 m i wysoki na około 10 m.</w:t>
      </w:r>
      <w:r>
        <w:rPr>
          <w:rStyle w:val="FootnoteReference"/>
        </w:rPr>
        <w:footnoteReference w:id="40"/>
      </w:r>
      <w:r>
        <w:rPr/>
        <w:t xml:space="preserve"> O Siemkowskich drzewo pisze z przekąsem: „byli ludźmi znacznymi, teraz zubożeli […] bieda też, bo ich pięciu na chudobę. Inni wyszli na Ruś, służą u panów Tarnowskich — gdzie niestatek, tam i niedostatek”.</w:t>
      </w:r>
      <w:r>
        <w:rPr>
          <w:rStyle w:val="FootnoteReference"/>
        </w:rPr>
        <w:footnoteReference w:id="41"/>
      </w:r>
    </w:p>
    <w:p>
      <w:pPr>
        <w:pStyle w:val="Heading2"/>
      </w:pPr>
      <w:r>
        <w:rPr/>
        <w:t>Pierwsze siedziby</w:t>
      </w:r>
    </w:p>
    <w:p>
      <w:r>
        <w:rPr/>
        <w:t>Najstarszą siedzibą rodu był drewniany dwór obronny na kopcu w łąkach, około 200 m na północny zachód od dzisiejszego dworu w Siemkowicach. Kajzer datuje go na 2. połowę XIII albo przełom XIII i XIV wieku i sądzi, że opuszczono go właśnie przy dziale ok. 1440 roku. Kopiec rozwieziono około 1971 roku, a miejscowi pamiętali jeszcze opowieść o „tunelu” wiodącym od kopca do „zamku”.</w:t>
      </w:r>
      <w:r>
        <w:rPr>
          <w:rStyle w:val="FootnoteReference"/>
        </w:rPr>
        <w:footnoteReference w:id="42"/>
      </w:r>
      <w:r>
        <w:rPr/>
        <w:t xml:space="preserve"> Zeszyt rodzinny wspomina „drewniany dwór z obronną wieżą, której ślady są 400 m od dworu”, i odnotowuje, że Leszek Kajzer prowadził tam wykopaliska.</w:t>
      </w:r>
      <w:r>
        <w:rPr>
          <w:rStyle w:val="FootnoteReference"/>
        </w:rPr>
        <w:footnoteReference w:id="43"/>
      </w:r>
    </w:p>
    <w:p>
      <w:r>
        <w:rPr/>
        <w:t xml:space="preserve">Same </w:t>
      </w:r>
      <w:r>
        <w:rPr>
          <w:b/>
        </w:rPr>
        <w:t>Radoszewice</w:t>
      </w:r>
      <w:r>
        <w:rPr/>
        <w:t xml:space="preserve"> pojawiają się w źródłach pisanych w </w:t>
      </w:r>
      <w:r>
        <w:rPr>
          <w:b/>
        </w:rPr>
        <w:t>1456 roku</w:t>
      </w:r>
      <w:r>
        <w:rPr/>
        <w:t>. Ośrodkiem wielowioskowego majątku stały się „nieco przed połową XV w.”</w:t>
      </w:r>
      <w:r>
        <w:rPr>
          <w:rStyle w:val="FootnoteReference"/>
        </w:rPr>
        <w:footnoteReference w:id="44"/>
      </w:r>
      <w:r>
        <w:rPr/>
        <w:t xml:space="preserve"> Stefan Łakomy, za herbarzami, przesuwa początki wsi do XII wieku i do nadania Krzywoustego.</w:t>
      </w:r>
      <w:r>
        <w:rPr>
          <w:rStyle w:val="FootnoteReference"/>
        </w:rPr>
        <w:footnoteReference w:id="45"/>
      </w:r>
      <w:r>
        <w:rPr/>
        <w:t xml:space="preserve"> Kajzer uważa za bardzo prawdopodobne, że w Radoszewicach stał późnośredniowieczny dwór obronny na kopcu, być może fundacji Bogusława, syna Imbrama.</w:t>
      </w:r>
      <w:r>
        <w:rPr>
          <w:rStyle w:val="FootnoteReference"/>
        </w:rPr>
        <w:footnoteReference w:id="46"/>
      </w:r>
    </w:p>
    <w:p>
      <w:pPr>
        <w:pStyle w:val="Heading1"/>
        <w:pageBreakBefore/>
      </w:pPr>
      <w:r>
        <w:rPr/>
        <w:t>4. Wiek XVI: Mikołaj Węgierski i jego bracia</w:t>
      </w:r>
    </w:p>
    <w:p>
      <w:pPr>
        <w:pStyle w:val="Heading2"/>
      </w:pPr>
      <w:r>
        <w:rPr/>
        <w:t>Synowie Bogusława</w:t>
      </w:r>
    </w:p>
    <w:p>
      <w:r>
        <w:rPr/>
        <w:t>Drzewo opisuje czterech synów Bogusława. Każdy z nich ma inny charakter:</w:t>
      </w:r>
    </w:p>
    <w:p>
      <w:pPr>
        <w:pStyle w:val="ListBullet"/>
        <w:spacing w:after="60"/>
      </w:pPr>
      <w:r>
        <w:rPr>
          <w:b/>
        </w:rPr>
        <w:t>Bogusław II</w:t>
      </w:r>
      <w:r>
        <w:rPr/>
        <w:t xml:space="preserve"> dostał połowę Radoszewic z dworem. Zarządzał też całością, gdy brat wojował na Węgrzech, a po jego powrocie oddał mu wszystko. Potem osiadł przy klasztorze augustianów w Wieluniu i tam „zasnął w Panu”. Był bezżenny.</w:t>
      </w:r>
      <w:r>
        <w:rPr>
          <w:rStyle w:val="FootnoteReference"/>
        </w:rPr>
        <w:footnoteReference w:id="47"/>
      </w:r>
    </w:p>
    <w:p>
      <w:pPr>
        <w:pStyle w:val="ListBullet"/>
        <w:spacing w:after="60"/>
      </w:pPr>
      <w:r>
        <w:rPr>
          <w:b/>
        </w:rPr>
        <w:t>Jan</w:t>
      </w:r>
      <w:r>
        <w:rPr/>
        <w:t>, jedyny syn z drugiej żony, był „człowiekiem wielkiego poważania i wielkim peregrynantem”: „pół świata przeszedł, był w Afryce i w Ziemi Świętej i po oceanie żeglował”. Przywoził „całe fury” ksiąg i „siedział nad nimi, o gospodarkę nie dbając”. Zbierał stare dokumenty rodziny i mówiono, że pisze kronikę. Po jego śmierci księgi „poszły na wiatr”. Autor drzewa widział wiele z nich na Jasnej Górze i u panów Górków.</w:t>
      </w:r>
      <w:r>
        <w:rPr>
          <w:rStyle w:val="FootnoteReference"/>
        </w:rPr>
        <w:footnoteReference w:id="48"/>
      </w:r>
      <w:r>
        <w:rPr/>
        <w:t xml:space="preserve"> To pierwszy w dziejach rodu bibliofil i kronikarz. Możliwe, że to z jego zbiorów korzystał później autor drzewa.</w:t>
      </w:r>
    </w:p>
    <w:p>
      <w:pPr>
        <w:pStyle w:val="ListBullet"/>
        <w:spacing w:after="60"/>
      </w:pPr>
      <w:r>
        <w:rPr>
          <w:b/>
        </w:rPr>
        <w:t>Marcin</w:t>
      </w:r>
      <w:r>
        <w:rPr/>
        <w:t>, najmłodszy, sprzedał swoje Laski nad Wartą i „poszedł na Podole; tam przepadł”. Drzewo nazywa go „wartogłowem”, ale dodaje, że przy wierze katolickiej „stał murem”. Odrzucił swataną mu przez Pstrokońskich pannę, „choć była ładna i zamożna”, bo była protestantką.</w:t>
      </w:r>
      <w:r>
        <w:rPr>
          <w:rStyle w:val="FootnoteReference"/>
        </w:rPr>
        <w:footnoteReference w:id="49"/>
      </w:r>
    </w:p>
    <w:p>
      <w:pPr>
        <w:pStyle w:val="ListBullet"/>
        <w:spacing w:after="60"/>
      </w:pPr>
      <w:r>
        <w:rPr>
          <w:b/>
        </w:rPr>
        <w:t>Mikołaj V, potocznie Miklasz, zwany Boksą</w:t>
      </w:r>
      <w:r>
        <w:rPr/>
        <w:t>, był najważniejszy z braci (zob. niżej).</w:t>
      </w:r>
    </w:p>
    <w:p>
      <w:pPr>
        <w:pStyle w:val="Heading2"/>
      </w:pPr>
      <w:r>
        <w:rPr/>
        <w:t>Mikołaj Boksa, rycerz króla Ludwika</w:t>
      </w:r>
    </w:p>
    <w:p>
      <w:r>
        <w:rPr/>
        <w:t xml:space="preserve">Według drzewa Mikołaj </w:t>
      </w:r>
      <w:r>
        <w:rPr>
          <w:b/>
        </w:rPr>
        <w:t>dwadzieścia lat służył na Węgrzech</w:t>
      </w:r>
      <w:r>
        <w:rPr/>
        <w:t xml:space="preserve">. Zasiadał w radzie, „szczęśliwie hetmanił przeciw rokoszanom i Turkom” i był w wielkim poważaniu u króla Ludwika. Dostał Terebesz z Kamieńcem i „ziemią na dwanaście mil”. Po klęsce pod Mohaczem </w:t>
      </w:r>
      <w:r>
        <w:rPr>
          <w:i/>
        </w:rPr>
        <w:t>(1526, śmierć króla Ludwika II Jagiellończyka)</w:t>
      </w:r>
      <w:r>
        <w:rPr/>
        <w:t xml:space="preserve"> odebrano mu większość tych dóbr. Resztę sprzedał i wrócił do kraju. W kraju spłacił długi na Radoszewicach, Broszęcinie i Stróży, dokupił Gaje, Wolę i inne majętności. Drzewo podsumowuje to słowami: „wszystko, co mamy [dziś]”. Na Jasną Górę ofiarował pierścień z klejnotem wart pięćdziesiąt grzywien, zdobyty na Turkach. Był „bardzo prawy: co w sercu, to na języku”. Kasztelanii rozprzańskiej od Zygmunta Augusta nie przyjął. Pochowano go w Radoszewicach z epitafium. Ze zmarłą wcześniej </w:t>
      </w:r>
      <w:r>
        <w:rPr>
          <w:b/>
        </w:rPr>
        <w:t>Zofią Konopnicką</w:t>
      </w:r>
      <w:r>
        <w:rPr/>
        <w:t>, sędzianką z Kroczowa, miał trzech synów.</w:t>
      </w:r>
      <w:r>
        <w:rPr>
          <w:rStyle w:val="FootnoteReference"/>
        </w:rPr>
        <w:footnoteReference w:id="50"/>
      </w:r>
    </w:p>
    <w:p>
      <w:r>
        <w:rPr/>
        <w:t xml:space="preserve">Zeszyt rodzinny potwierdza tę tradycję. Mikołaj „bywał i walczył na Węgrzech”, a od króla Ludwika otrzymał zamki </w:t>
      </w:r>
      <w:r>
        <w:rPr>
          <w:b/>
        </w:rPr>
        <w:t>„Kamienice i Trebar[?]”</w:t>
      </w:r>
      <w:r>
        <w:rPr/>
        <w:t xml:space="preserve"> i po śmierci Ludwika wrócił do Polski. Zeszyt podaje datę śmierci </w:t>
      </w:r>
      <w:r>
        <w:rPr>
          <w:b/>
        </w:rPr>
        <w:t>1574</w:t>
      </w:r>
      <w:r>
        <w:rPr/>
        <w:t xml:space="preserve"> i dopisuje, że Mikołaj „żył 85 lat”.</w:t>
      </w:r>
      <w:r>
        <w:rPr>
          <w:rStyle w:val="FootnoteReference"/>
        </w:rPr>
        <w:footnoteReference w:id="51"/>
      </w:r>
      <w:r>
        <w:rPr/>
        <w:t xml:space="preserve"> Urodziłby się więc około 1489 roku, a to zgadza się ze służbą na Węgrzech przed 1526 rokiem. Jako żonę zeszyt wymienia jednak </w:t>
      </w:r>
      <w:r>
        <w:rPr>
          <w:b/>
        </w:rPr>
        <w:t>Kurzepnicką[?]</w:t>
      </w:r>
      <w:r>
        <w:rPr/>
        <w:t xml:space="preserve"> (nazwisko odczytane niepewnie), a nie Konopnicką. Mogła to być inna żona. Nad słowem „żona” jest drobny dopisek, być może „2. ż[ona]”.</w:t>
      </w:r>
      <w:r>
        <w:rPr>
          <w:rStyle w:val="FootnoteReference"/>
        </w:rPr>
        <w:footnoteReference w:id="52"/>
      </w:r>
      <w:r>
        <w:rPr/>
        <w:t xml:space="preserve"> Ręczny dopisek „85 lat” w rodzinnym egzemplarzu Kosińskiego stoi przy innym Mikołaju, Mikołaju III, o którym drzewo mówi, że żył ponad osiemdziesiąt lat. Być może ktoś z rodziny łączył obie postaci.</w:t>
      </w:r>
      <w:r>
        <w:rPr>
          <w:rStyle w:val="FootnoteReference"/>
        </w:rPr>
        <w:footnoteReference w:id="53"/>
      </w:r>
    </w:p>
    <w:p>
      <w:pPr>
        <w:pStyle w:val="Heading2"/>
      </w:pPr>
      <w:r>
        <w:rPr/>
        <w:t>Radoszewice w połowie XVI wieku</w:t>
      </w:r>
    </w:p>
    <w:p>
      <w:r>
        <w:rPr/>
        <w:t xml:space="preserve">Rejestry poborowe z lat </w:t>
      </w:r>
      <w:r>
        <w:rPr>
          <w:b/>
        </w:rPr>
        <w:t>1552–1553</w:t>
      </w:r>
      <w:r>
        <w:rPr/>
        <w:t xml:space="preserve"> wymieniają Radoszewice jako własność </w:t>
      </w:r>
      <w:r>
        <w:rPr>
          <w:b/>
        </w:rPr>
        <w:t>Jana, Hieronima i Mikołaja Radoszewskich</w:t>
      </w:r>
      <w:r>
        <w:rPr/>
        <w:t>. Wieś miała 11 łanów i 26 osadników. Działały w niej dwa nowo zbudowane młyny, o jednym i o dwóch kołach.</w:t>
      </w:r>
      <w:r>
        <w:rPr>
          <w:rStyle w:val="FootnoteReference"/>
        </w:rPr>
        <w:footnoteReference w:id="54"/>
      </w:r>
      <w:r>
        <w:rPr/>
        <w:t xml:space="preserve"> Mikołaj z 1552 roku może być tą samą osobą co Mikołaj zmarły w 1574 roku, ale tego nie przesądzam. W bazie są to na razie dwie osoby.</w:t>
      </w:r>
    </w:p>
    <w:p>
      <w:r>
        <w:rPr/>
        <w:t xml:space="preserve">Przy dziale rodzinnym w </w:t>
      </w:r>
      <w:r>
        <w:rPr>
          <w:b/>
        </w:rPr>
        <w:t>1588 roku</w:t>
      </w:r>
      <w:r>
        <w:rPr/>
        <w:t xml:space="preserve"> Łukasz, syn Jana, otrzymał „siedlisko stare […] z ogrodem, sadzawkami, z przykopem i ze wszystkimi budowlami”. Był to cały stary zespół dworski. Kajzer widzi w tym ślad dworu obronnego otoczonego fosą.</w:t>
      </w:r>
      <w:r>
        <w:rPr>
          <w:rStyle w:val="FootnoteReference"/>
        </w:rPr>
        <w:footnoteReference w:id="55"/>
      </w:r>
      <w:r>
        <w:rPr/>
        <w:t xml:space="preserve"> W tym samym okresie, w latach </w:t>
      </w:r>
      <w:r>
        <w:rPr>
          <w:b/>
        </w:rPr>
        <w:t>1562–1588</w:t>
      </w:r>
      <w:r>
        <w:rPr/>
        <w:t>, w dobrach Radoszewskich w Radoszewicach, Lipniku i Kuszynie rozwinęła się gospodarka stawowa.</w:t>
      </w:r>
      <w:r>
        <w:rPr>
          <w:rStyle w:val="FootnoteReference"/>
        </w:rPr>
        <w:footnoteReference w:id="56"/>
      </w:r>
      <w:r>
        <w:rPr/>
        <w:t xml:space="preserve"> Historyk ziemi wieluńskiej Wojciech Szczygielski, cytowany przez Łakomego, pisze, że w połowie XVI wieku w posiadaniu Radoszewskich był „jeden z nielicznych tu księgozbiorów”.</w:t>
      </w:r>
      <w:r>
        <w:rPr>
          <w:rStyle w:val="FootnoteReference"/>
        </w:rPr>
        <w:footnoteReference w:id="57"/>
      </w:r>
    </w:p>
    <w:p>
      <w:r>
        <w:rPr/>
        <w:t>Z tego czasu zeszyt rodzinny notuje kilku innych członków rodu:</w:t>
      </w:r>
    </w:p>
    <w:p>
      <w:pPr>
        <w:pStyle w:val="ListBullet"/>
        <w:spacing w:after="60"/>
      </w:pPr>
      <w:r>
        <w:rPr>
          <w:b/>
        </w:rPr>
        <w:t>Nikodem</w:t>
      </w:r>
      <w:r>
        <w:rPr/>
        <w:t>, podkomorzy (1561), „na pogrzebie hetmana Tarnowskiego jechał za trumną przebrany za zmarłego”;</w:t>
      </w:r>
    </w:p>
    <w:p>
      <w:pPr>
        <w:pStyle w:val="ListBullet"/>
        <w:spacing w:after="60"/>
      </w:pPr>
      <w:r>
        <w:rPr>
          <w:b/>
        </w:rPr>
        <w:t>Andrzej</w:t>
      </w:r>
      <w:r>
        <w:rPr/>
        <w:t xml:space="preserve"> (1574);</w:t>
      </w:r>
    </w:p>
    <w:p>
      <w:pPr>
        <w:pStyle w:val="ListBullet"/>
        <w:spacing w:after="60"/>
      </w:pPr>
      <w:r>
        <w:rPr>
          <w:b/>
        </w:rPr>
        <w:t>Marcin</w:t>
      </w:r>
      <w:r>
        <w:rPr/>
        <w:t>, wojski wieluński (1597).</w:t>
      </w:r>
      <w:r>
        <w:rPr>
          <w:rStyle w:val="FootnoteReference"/>
        </w:rPr>
        <w:footnoteReference w:id="58"/>
      </w:r>
    </w:p>
    <w:p>
      <w:pPr>
        <w:pStyle w:val="Heading2"/>
      </w:pPr>
      <w:r>
        <w:rPr/>
        <w:t>Siemkowscy w XVI wieku</w:t>
      </w:r>
    </w:p>
    <w:p>
      <w:r>
        <w:rPr/>
        <w:t xml:space="preserve">Krewni z Siemkowic przeżywali wtedy swój najlepszy okres. W kościele w Siemkowicach zachowała się płyta nagrobna </w:t>
      </w:r>
      <w:r>
        <w:rPr>
          <w:b/>
        </w:rPr>
        <w:t>Jerzego Siemkowskiego</w:t>
      </w:r>
      <w:r>
        <w:rPr/>
        <w:t xml:space="preserve"> († 1564) z postacią rycerza i herbami. Jemu właśnie Kajzer przypisuje rozbudowę „kamieńca” w latach ok. 1550–1560 w obszerny renesansowy dwór na wyspie otoczonej fosą. Ten „zameczek” stoi do dziś. Przy dziale w 1563 roku </w:t>
      </w:r>
      <w:r>
        <w:rPr>
          <w:b/>
        </w:rPr>
        <w:t>Janowi Siemkowskiemu</w:t>
      </w:r>
      <w:r>
        <w:rPr/>
        <w:t>, zapewne skarbnikowi sieradzkiemu, dostał się „zameczek z przykopem i sadzawką”. W 1589 roku dwór krótko należał do Boguckich, a w kościele zachowała się też płyta Zofii Boguckiej († 1587).</w:t>
      </w:r>
      <w:r>
        <w:rPr>
          <w:rStyle w:val="FootnoteReference"/>
        </w:rPr>
        <w:footnoteReference w:id="59"/>
      </w:r>
    </w:p>
    <w:p>
      <w:pPr>
        <w:pStyle w:val="Heading1"/>
        <w:pageBreakBefore/>
      </w:pPr>
      <w:r>
        <w:rPr/>
        <w:t>5. Złoty wiek rodu: Radoszewscy w ziemi wieluńskiej (koniec XVI – połowa XVII wieku)</w:t>
      </w:r>
    </w:p>
    <w:p>
      <w:r>
        <w:rPr/>
        <w:t>Wszystkie źródła zgodnie wskazują przełom XVI i XVII wieku jako czas największego znaczenia rodziny. Kajzer pisze, że okresem największej prosperity Radoszewskich był schyłek średniowiecza i czasy wczesnonowożytne, „a szczególnie 1 połowa XVII w.”</w:t>
      </w:r>
      <w:r>
        <w:rPr>
          <w:rStyle w:val="FootnoteReference"/>
        </w:rPr>
        <w:footnoteReference w:id="60"/>
      </w:r>
      <w:r>
        <w:rPr/>
        <w:t xml:space="preserve"> Według Szczygielskiego po śmierci starosty Aleksandra Koniecpolskiego (1609) „na czoło szlachty wieluńskiej wysunęła się przejściowo rodzina Radoszewskich, wyróżniająca się w tym czasie aktywnością polityczną, ekonomiczną i kulturalną”.</w:t>
      </w:r>
      <w:r>
        <w:rPr>
          <w:rStyle w:val="FootnoteReference"/>
        </w:rPr>
        <w:footnoteReference w:id="61"/>
      </w:r>
    </w:p>
    <w:p>
      <w:r>
        <w:rPr/>
        <w:t xml:space="preserve">Drzewo Kosińskiego kończy się na synach Mikołaja V. Wymienia ich po łacinie z urzędami: </w:t>
      </w:r>
      <w:r>
        <w:rPr>
          <w:b/>
        </w:rPr>
        <w:t>Jerzy</w:t>
      </w:r>
      <w:r>
        <w:rPr/>
        <w:t xml:space="preserve">, dziedzic na Radoszewicach i podkomorzy wieluński; </w:t>
      </w:r>
      <w:r>
        <w:rPr>
          <w:b/>
        </w:rPr>
        <w:t>Marek</w:t>
      </w:r>
      <w:r>
        <w:rPr/>
        <w:t xml:space="preserve">, chorąży wieluński i starosta mokrski; </w:t>
      </w:r>
      <w:r>
        <w:rPr>
          <w:b/>
        </w:rPr>
        <w:t>Andrzej</w:t>
      </w:r>
      <w:r>
        <w:rPr/>
        <w:t>, rotmistrz Jego Królewskiej Mości.</w:t>
      </w:r>
      <w:r>
        <w:rPr>
          <w:rStyle w:val="FootnoteReference"/>
        </w:rPr>
        <w:footnoteReference w:id="62"/>
      </w:r>
    </w:p>
    <w:p>
      <w:pPr>
        <w:pStyle w:val="Heading2"/>
      </w:pPr>
      <w:r>
        <w:rPr/>
        <w:t>Jerzy Boxa Radoszewski, podkomorzy wieluński (zm. 1614)</w:t>
      </w:r>
    </w:p>
    <w:p>
      <w:r>
        <w:rPr/>
        <w:t xml:space="preserve">Jerzy był </w:t>
      </w:r>
      <w:r>
        <w:rPr>
          <w:b/>
        </w:rPr>
        <w:t>podkomorzym wieluńskim</w:t>
      </w:r>
      <w:r>
        <w:rPr/>
        <w:t xml:space="preserve"> jeszcze za Aleksandra Koniecpolskiego, którego był protegowanym.</w:t>
      </w:r>
      <w:r>
        <w:rPr>
          <w:rStyle w:val="FootnoteReference"/>
        </w:rPr>
        <w:footnoteReference w:id="63"/>
      </w:r>
      <w:r>
        <w:rPr/>
        <w:t xml:space="preserve"> Zeszyt rodzinny podaje, że był posłem z województwa sieradzkiego na zjazd wiślicki w 1587 roku i na sejm koronacyjny Zygmunta III. Dwa razy posłował do arcyksięcia Maksymiliana i do Zygmunta III.</w:t>
      </w:r>
      <w:r>
        <w:rPr>
          <w:rStyle w:val="FootnoteReference"/>
        </w:rPr>
        <w:footnoteReference w:id="64"/>
      </w:r>
      <w:r>
        <w:rPr/>
        <w:t xml:space="preserve"> Epitafium Jerzego, cytowane przez ks. Wincentego Prygodzkiego, nazywa go „mężem zasłużonym Ojczyźnie, dwakroć spełniającym zaszczytną misję poselską do Arcyksięcia Maksymiliana i króla Zygmunta III”.</w:t>
      </w:r>
      <w:r>
        <w:rPr>
          <w:rStyle w:val="FootnoteReference"/>
        </w:rPr>
        <w:footnoteReference w:id="65"/>
      </w:r>
    </w:p>
    <w:p>
      <w:r>
        <w:rPr/>
        <w:t xml:space="preserve">Jerzy stanął po stronie króla w czasie </w:t>
      </w:r>
      <w:r>
        <w:rPr>
          <w:b/>
        </w:rPr>
        <w:t>rokoszu Zebrzydowskiego</w:t>
      </w:r>
      <w:r>
        <w:rPr/>
        <w:t xml:space="preserve"> (1606–1607).</w:t>
      </w:r>
      <w:r>
        <w:rPr>
          <w:rStyle w:val="FootnoteReference"/>
        </w:rPr>
        <w:footnoteReference w:id="66"/>
      </w:r>
      <w:r>
        <w:rPr/>
        <w:t xml:space="preserve"> Szczygielski, przepisany przez Łakomego, opisuje dramatyczny moment z marca 1607 roku. Rokoszanie i regaliści ściągali wtedy pod Sieradz, a „w dramatycznych momentach, grożących każdej chwili rozpoczęciem walki zbrojnej”, regaliści rozpoczęli pertraktacje. Poselstwo stronnictwa królewskiego „na czele z podkomorzym wieluńskim Jerzym Radoszewskim” udało się do obozu rokoszan. Radoszewski, „wówczas 70-letni już starzec”, nakłaniał przywódców do rezygnacji z walki i oddania sprawy pod arbitraż sejmu. Rokoszanie nie dali się przekonać i ruszyli pod Jędrzejów, a wkrótce przegrali bitwę pod Guzowem.</w:t>
      </w:r>
      <w:r>
        <w:rPr>
          <w:rStyle w:val="FootnoteReference"/>
        </w:rPr>
        <w:footnoteReference w:id="67"/>
      </w:r>
    </w:p>
    <w:p>
      <w:r>
        <w:rPr/>
        <w:t xml:space="preserve">Jerzy był też mecenasem sztuki. Sprowadził z Włoch do Wielunia obraz </w:t>
      </w:r>
      <w:r>
        <w:rPr>
          <w:b/>
        </w:rPr>
        <w:t>„Grosz czynszowy”</w:t>
      </w:r>
      <w:r>
        <w:rPr/>
        <w:t xml:space="preserve"> ze szkoły Tycjana, zachowany do dziś. Zeszyt rodzinny dodaje „Widzenie św. Teresy” i przypisuje Jerzemu „jeden z większych księgozbiorów”.</w:t>
      </w:r>
      <w:r>
        <w:rPr>
          <w:rStyle w:val="FootnoteReference"/>
        </w:rPr>
        <w:footnoteReference w:id="68"/>
      </w:r>
      <w:r>
        <w:rPr/>
        <w:t xml:space="preserve"> </w:t>
      </w:r>
      <w:r>
        <w:rPr>
          <w:i/>
        </w:rPr>
        <w:t>Rozbieżność:</w:t>
      </w:r>
      <w:r>
        <w:rPr/>
        <w:t xml:space="preserve"> Kajzer uważa, że „Grosz czynszowy” sprowadził raczej Marek.</w:t>
      </w:r>
      <w:r>
        <w:rPr>
          <w:rStyle w:val="FootnoteReference"/>
        </w:rPr>
        <w:footnoteReference w:id="69"/>
      </w:r>
    </w:p>
    <w:p>
      <w:r>
        <w:rPr/>
        <w:t xml:space="preserve">Jerzy zmarł </w:t>
      </w:r>
      <w:r>
        <w:rPr>
          <w:b/>
        </w:rPr>
        <w:t>23 października 1614 roku</w:t>
      </w:r>
      <w:r>
        <w:rPr/>
        <w:t xml:space="preserve"> w wieku 80 lat.</w:t>
      </w:r>
      <w:r>
        <w:rPr>
          <w:rStyle w:val="FootnoteReference"/>
        </w:rPr>
        <w:footnoteReference w:id="70"/>
      </w:r>
      <w:r>
        <w:rPr/>
        <w:t xml:space="preserve"> Zeszyt podaje w jednym miejscu rok 1613, w innym 1614.</w:t>
      </w:r>
      <w:r>
        <w:rPr>
          <w:rStyle w:val="FootnoteReference"/>
        </w:rPr>
        <w:footnoteReference w:id="71"/>
      </w:r>
      <w:r>
        <w:rPr/>
        <w:t xml:space="preserve"> Jego żoną była według zeszytu </w:t>
      </w:r>
      <w:r>
        <w:rPr>
          <w:b/>
        </w:rPr>
        <w:t>Mogilnicka herbu Korczak</w:t>
      </w:r>
      <w:r>
        <w:rPr/>
        <w:t>.</w:t>
      </w:r>
      <w:r>
        <w:rPr>
          <w:rStyle w:val="FootnoteReference"/>
        </w:rPr>
        <w:footnoteReference w:id="72"/>
      </w:r>
    </w:p>
    <w:p>
      <w:pPr>
        <w:pStyle w:val="Heading2"/>
      </w:pPr>
      <w:r>
        <w:rPr/>
        <w:t>Marek Boxa Radoszewski, kasztelan wieluński (zm. 1641)</w:t>
      </w:r>
    </w:p>
    <w:p>
      <w:r>
        <w:rPr/>
        <w:t>Kajzer uważa Marka za „najwybitniejszego przedstawiciela rodziny”, przywódcę szlachty wieluńskiej w drugiej ćwierci XVII wieku.</w:t>
      </w:r>
      <w:r>
        <w:rPr>
          <w:rStyle w:val="FootnoteReference"/>
        </w:rPr>
        <w:footnoteReference w:id="73"/>
      </w:r>
      <w:r>
        <w:rPr/>
        <w:t xml:space="preserve"> Marek był </w:t>
      </w:r>
      <w:r>
        <w:rPr>
          <w:b/>
        </w:rPr>
        <w:t>chorążym wieluńskim i starostą mokrskim</w:t>
      </w:r>
      <w:r>
        <w:rPr/>
        <w:t>. Według Kosińskiego został potem podkomorzym po bracie Jerzym, „a ostatecznie kasztelanem wieluńskim”. Kosiński dodaje: „od niego pochodzą dzisiejsi Radoszewscy”.</w:t>
      </w:r>
      <w:r>
        <w:rPr>
          <w:rStyle w:val="FootnoteReference"/>
        </w:rPr>
        <w:footnoteReference w:id="74"/>
      </w:r>
      <w:r>
        <w:rPr/>
        <w:t xml:space="preserve"> W 1633 roku został </w:t>
      </w:r>
      <w:r>
        <w:rPr>
          <w:b/>
        </w:rPr>
        <w:t>kasztelanem wieluńskim</w:t>
      </w:r>
      <w:r>
        <w:rPr/>
        <w:t>, czyli wszedł do senatu.</w:t>
      </w:r>
      <w:r>
        <w:rPr>
          <w:rStyle w:val="FootnoteReference"/>
        </w:rPr>
        <w:footnoteReference w:id="75"/>
      </w:r>
      <w:r>
        <w:rPr/>
        <w:t xml:space="preserve"> Szczygielski pisze, że Marek „cieszył się też wśród Wielunian ogromną popularnością. Szlachta wieluńska uważała go powszechnie za swego przywódcę, nie szczędząc dowodów oddania i uwielbienia”.</w:t>
      </w:r>
      <w:r>
        <w:rPr>
          <w:rStyle w:val="FootnoteReference"/>
        </w:rPr>
        <w:footnoteReference w:id="76"/>
      </w:r>
      <w:r>
        <w:rPr/>
        <w:t xml:space="preserve"> W 1606 roku był na sejmiku wieluńskim, który ogłosił wymarsz pod Sandomierz. Należał jednak do dwunastu „zdecydowanych regalistów”, razem z </w:t>
      </w:r>
      <w:r>
        <w:rPr>
          <w:b/>
        </w:rPr>
        <w:t>Piotrem Radoszewskim</w:t>
      </w:r>
      <w:r>
        <w:rPr/>
        <w:t>, którzy złożyli protest w księgach grodzkich.</w:t>
      </w:r>
      <w:r>
        <w:rPr>
          <w:rStyle w:val="FootnoteReference"/>
        </w:rPr>
        <w:footnoteReference w:id="77"/>
      </w:r>
      <w:r>
        <w:rPr/>
        <w:t xml:space="preserve"> Podpisał elekcję Władysława IV. Zeszyt podaje datę 1632 roku, a w drzewie 1630.</w:t>
      </w:r>
      <w:r>
        <w:rPr>
          <w:rStyle w:val="FootnoteReference"/>
        </w:rPr>
        <w:footnoteReference w:id="78"/>
      </w:r>
    </w:p>
    <w:p>
      <w:r>
        <w:rPr/>
        <w:t xml:space="preserve">Marek zmarł </w:t>
      </w:r>
      <w:r>
        <w:rPr>
          <w:b/>
        </w:rPr>
        <w:t>28 listopada 1641 roku w wieku 64 lat</w:t>
      </w:r>
      <w:r>
        <w:rPr/>
        <w:t xml:space="preserve">. Upamiętniała go marmurowa tablica i „piękny portret na miedzi” w kaplicy wieluńskiej. Obok niego spoczęła żona, </w:t>
      </w:r>
      <w:r>
        <w:rPr>
          <w:b/>
        </w:rPr>
        <w:t>Anna z Rudnik Biskupska</w:t>
      </w:r>
      <w:r>
        <w:rPr/>
        <w:t>, podkomorzanka łęczycka.</w:t>
      </w:r>
      <w:r>
        <w:rPr>
          <w:rStyle w:val="FootnoteReference"/>
        </w:rPr>
        <w:footnoteReference w:id="79"/>
      </w:r>
      <w:r>
        <w:rPr/>
        <w:t xml:space="preserve"> Portret Marka zachował się i jest w muzeum w Wieluniu.</w:t>
      </w:r>
      <w:r>
        <w:rPr>
          <w:rStyle w:val="FootnoteReference"/>
        </w:rPr>
        <w:footnoteReference w:id="80"/>
      </w:r>
    </w:p>
    <w:p>
      <w:r>
        <w:rPr>
          <w:i/>
        </w:rPr>
        <w:t>Zagadka pokrewieństwa.</w:t>
      </w:r>
      <w:r>
        <w:rPr/>
        <w:t xml:space="preserve"> Skoro Marek miał 64 lata w 1641 roku, urodził się około 1577 roku. Jerzy (ur. ok. 1534) był więc od niego starszy o czterdzieści lat. Trudno, by Marek był synem Mikołaja zmarłego w 1574 roku w wieku 85 lat. Prawdopodobnie drzewo uprościło pokrewieństwo, a Marek był raczej synem Jerzego. Zeszyt rodzinny podaje zresztą „4 senatorów od 1618–1782” i daty Marka „podkomorzy 1616, kasztelan 1661–1677”, a te znowu nie zgadzają się z datą śmierci w 1641 roku.</w:t>
      </w:r>
      <w:r>
        <w:rPr>
          <w:rStyle w:val="FootnoteReference"/>
        </w:rPr>
        <w:footnoteReference w:id="81"/>
      </w:r>
    </w:p>
    <w:p>
      <w:pPr>
        <w:pStyle w:val="Heading2"/>
      </w:pPr>
      <w:r>
        <w:rPr/>
        <w:t>Andrzej, chorąży wieluński</w:t>
      </w:r>
    </w:p>
    <w:p>
      <w:r>
        <w:rPr/>
        <w:t xml:space="preserve">Drugi nagrobek w kaplicy wieluńskiej, „pod postacią rycerską”, upamiętniał </w:t>
      </w:r>
      <w:r>
        <w:rPr>
          <w:b/>
        </w:rPr>
        <w:t>Andrzeja Radoszewskiego, chorążego ziemi wieluńskiej</w:t>
      </w:r>
      <w:r>
        <w:rPr/>
        <w:t xml:space="preserve">, zmarłego w </w:t>
      </w:r>
      <w:r>
        <w:rPr>
          <w:b/>
        </w:rPr>
        <w:t>1621 roku</w:t>
      </w:r>
      <w:r>
        <w:rPr/>
        <w:t xml:space="preserve"> i złożonego w podziemiach kaplicy.</w:t>
      </w:r>
      <w:r>
        <w:rPr>
          <w:rStyle w:val="FootnoteReference"/>
        </w:rPr>
        <w:footnoteReference w:id="82"/>
      </w:r>
      <w:r>
        <w:rPr/>
        <w:t xml:space="preserve"> Zeszyt rodzinny przytacza o Andrzeju dwie tradycje. Według pierwszej konstytucja sejmowa na wyprawę przeciw Turkom kazała mu nieść chorągiew ziemi wieluńskiej. Według drugiej „chorąży wieluński w 1630 r. ofiarował srebrną sukienkę do obrazu Matki Boskiej w Pajęcznie w podzięce za uratowanie z niewoli tureckiej”.</w:t>
      </w:r>
      <w:r>
        <w:rPr>
          <w:rStyle w:val="FootnoteReference"/>
        </w:rPr>
        <w:footnoteReference w:id="83"/>
      </w:r>
      <w:r>
        <w:rPr/>
        <w:t xml:space="preserve"> Łakomy podaje to samo za ks. Stanisławem Nejmanem.</w:t>
      </w:r>
      <w:r>
        <w:rPr>
          <w:rStyle w:val="FootnoteReference"/>
        </w:rPr>
        <w:footnoteReference w:id="84"/>
      </w:r>
      <w:r>
        <w:rPr/>
        <w:t xml:space="preserve"> </w:t>
      </w:r>
      <w:r>
        <w:rPr>
          <w:i/>
        </w:rPr>
        <w:t>Rozbieżność:</w:t>
      </w:r>
      <w:r>
        <w:rPr/>
        <w:t xml:space="preserve"> jeżeli chorąży Andrzej zmarł w 1621 roku, fundatorem z 1630 roku musiał być ktoś inny, być może syn albo bratanek o tym samym imieniu. W bazie rozdzielono ich jako „Andrzej †1621” i „Andrzej 1630”.</w:t>
      </w:r>
    </w:p>
    <w:p>
      <w:r>
        <w:rPr/>
        <w:t xml:space="preserve">Z tą samą generacją zeszyt łączy </w:t>
      </w:r>
      <w:r>
        <w:rPr>
          <w:b/>
        </w:rPr>
        <w:t>Jędrzeja (Andrzeja)</w:t>
      </w:r>
      <w:r>
        <w:rPr/>
        <w:t xml:space="preserve">, „brata Marka?”, zmarłego w 1608 roku. Wystawił on swojej żonie </w:t>
      </w:r>
      <w:r>
        <w:rPr>
          <w:b/>
        </w:rPr>
        <w:t>Barbarze z Pęsławskich[?] (Popławskich[?])</w:t>
      </w:r>
      <w:r>
        <w:rPr/>
        <w:t>, zmarłej również w 1608 roku, nagrobek „z czerwonego marmuru” (w innym miejscu zeszytu: z czarnego) w kościele franciszkanów w Krakowie, w kaplicy Matki Boskiej Bolesnej. W drugim miejscu zeszyt nazywa fundatora „Andrzejem chorążym ziemi wieluńskiej”.</w:t>
      </w:r>
      <w:r>
        <w:rPr>
          <w:rStyle w:val="FootnoteReference"/>
        </w:rPr>
        <w:footnoteReference w:id="85"/>
      </w:r>
    </w:p>
    <w:p>
      <w:pPr>
        <w:pStyle w:val="Heading2"/>
      </w:pPr>
      <w:r>
        <w:rPr/>
        <w:t>Kaplica Radoszewskich w kolegiacie wieluńskiej</w:t>
      </w:r>
    </w:p>
    <w:p>
      <w:r>
        <w:rPr/>
        <w:t>Ks. Wincenty Prygodzki, były dziekan wieluński (</w:t>
      </w:r>
      <w:r>
        <w:rPr>
          <w:i/>
        </w:rPr>
        <w:t>Z przeszłości Wielunia</w:t>
      </w:r>
      <w:r>
        <w:rPr/>
        <w:t>, 1928), opisał kaplicę tak:</w:t>
      </w:r>
    </w:p>
    <w:p>
      <w:pPr>
        <w:pStyle w:val="Quote"/>
      </w:pPr>
      <w:r>
        <w:rPr/>
        <w:t>„Kaplica Radoszewskich pod wezwaniem Matki Boskiej Bolesnej, pierwotnie św. Jerzego w stylu wczesnego baroku, ze sklepieniem stiukami ozdobnym, ma dwa piękne nagrobki Jerzego Boxa-Radoszewskiego, podkomorzego wieluńskiego […] [oraz] Andrzeja Radoszewskiego, chorążego ziemi wieluńskiej, pod postacią rycerską […]. Trzeciego członka tej rodziny Marka Radoszewskiego, podkomorzego i kasztelana wieluńskiego, umiłowanego przez szlachtę okoliczną, upamiętnia marmurowa tablica i piękny portret na miedzi”.</w:t>
      </w:r>
      <w:r>
        <w:rPr>
          <w:rStyle w:val="FootnoteReference"/>
        </w:rPr>
        <w:footnoteReference w:id="86"/>
      </w:r>
    </w:p>
    <w:p>
      <w:r>
        <w:rPr/>
        <w:t xml:space="preserve">Kajzer dodaje, że była to </w:t>
      </w:r>
      <w:r>
        <w:rPr>
          <w:b/>
        </w:rPr>
        <w:t>kaplica kopułowa</w:t>
      </w:r>
      <w:r>
        <w:rPr/>
        <w:t xml:space="preserve"> z renesansowymi nagrobkami, „z figurami leżącymi w bogatej oprawie architektonicznej”.</w:t>
      </w:r>
      <w:r>
        <w:rPr>
          <w:rStyle w:val="FootnoteReference"/>
        </w:rPr>
        <w:footnoteReference w:id="87"/>
      </w:r>
      <w:r>
        <w:rPr/>
        <w:t xml:space="preserve"> Kaplica wraz z kolegiatą została </w:t>
      </w:r>
      <w:r>
        <w:rPr>
          <w:b/>
        </w:rPr>
        <w:t>zbombardowana na początku września 1939 roku i rozebrana przez Niemców</w:t>
      </w:r>
      <w:r>
        <w:rPr/>
        <w:t xml:space="preserve"> w czasie okupacji. Od 1989 roku prowadzono tam prace archeologiczno-architektoniczne.</w:t>
      </w:r>
      <w:r>
        <w:rPr>
          <w:rStyle w:val="FootnoteReference"/>
        </w:rPr>
        <w:footnoteReference w:id="88"/>
      </w:r>
      <w:r>
        <w:rPr/>
        <w:t xml:space="preserve"> Zeszyt rodzinny zapisał po wojnie: „zniszczona podczas wojny 1939 r. Sarkofagi Jerzego Radoszewskiego †1614 [i] Andrzeja”.</w:t>
      </w:r>
      <w:r>
        <w:rPr>
          <w:rStyle w:val="FootnoteReference"/>
        </w:rPr>
        <w:footnoteReference w:id="89"/>
      </w:r>
    </w:p>
    <w:p>
      <w:pPr>
        <w:pStyle w:val="Heading2"/>
      </w:pPr>
      <w:r>
        <w:rPr/>
        <w:t>Kościół w Radoszewicach</w:t>
      </w:r>
    </w:p>
    <w:p>
      <w:r>
        <w:rPr/>
        <w:t xml:space="preserve">Na początku XVII wieku </w:t>
      </w:r>
      <w:r>
        <w:rPr>
          <w:b/>
        </w:rPr>
        <w:t>Marcin Boksa Radoszewski z Siemkowic</w:t>
      </w:r>
      <w:r>
        <w:rPr/>
        <w:t xml:space="preserve"> wystawił w Radoszewicach drewniany kościół pod wezwaniem św. Marii Magdaleny. Konsekrowano go w </w:t>
      </w:r>
      <w:r>
        <w:rPr>
          <w:b/>
        </w:rPr>
        <w:t>1625 roku</w:t>
      </w:r>
      <w:r>
        <w:rPr/>
        <w:t xml:space="preserve"> jako filię parafii w Osjakowie. Odnowiono go około 1760 roku, a później zastąpiono kościołem murowanym.</w:t>
      </w:r>
      <w:r>
        <w:rPr>
          <w:rStyle w:val="FootnoteReference"/>
        </w:rPr>
        <w:footnoteReference w:id="90"/>
      </w:r>
      <w:r>
        <w:rPr/>
        <w:t xml:space="preserve"> Według Kajzera nowy kościół pochodzi z XIX wieku, według Łakomego z początku XX wieku.</w:t>
      </w:r>
      <w:r>
        <w:rPr>
          <w:rStyle w:val="FootnoteReference"/>
        </w:rPr>
        <w:footnoteReference w:id="91"/>
      </w:r>
    </w:p>
    <w:p>
      <w:pPr>
        <w:pStyle w:val="Heading2"/>
      </w:pPr>
      <w:r>
        <w:rPr/>
        <w:t>Duchowni z rodu</w:t>
      </w:r>
    </w:p>
    <w:p>
      <w:r>
        <w:rPr/>
        <w:t>Zeszyt rodzinny i kartka o kaplicy w Uniejowie wymieniają kilku duchownych:</w:t>
      </w:r>
      <w:r>
        <w:rPr>
          <w:rStyle w:val="FootnoteReference"/>
        </w:rPr>
        <w:footnoteReference w:id="92"/>
      </w:r>
    </w:p>
    <w:p>
      <w:pPr>
        <w:pStyle w:val="ListBullet"/>
        <w:spacing w:after="60"/>
      </w:pPr>
      <w:r>
        <w:rPr>
          <w:b/>
        </w:rPr>
        <w:t>Bogusław</w:t>
      </w:r>
      <w:r>
        <w:rPr/>
        <w:t xml:space="preserve">, syn Jerzego, opat świętokrzyski, który rozbudował kościół i klasztor benedyktynów na Łysej Górze. Według zeszytu był „biskupem kijowskim i czernichowskim 1610, biskupem łuckim 1633–1638”, zmarł w 1638 roku. Według kartki był biskupem kijowskim w 1618, opatem świętokrzyskim w 1632, biskupem łuckim i zmarł w 1635 roku. Sprowadził do katedry kijowskiej „obraz Matki Boskiej cudami wsławiony i wiele świętych relikwii” i oddał diecezję w opiekę Matce Boskiej. Zeszyt cytuje tu </w:t>
      </w:r>
      <w:r>
        <w:rPr>
          <w:i/>
        </w:rPr>
        <w:t>Katedrę kijowską</w:t>
      </w:r>
      <w:r>
        <w:rPr/>
        <w:t xml:space="preserve"> ks. Kasjana Korczyńskiego. Na Łysej Górze jest relikwiarz Krzyża Świętego z herbem Oksza.</w:t>
      </w:r>
    </w:p>
    <w:p>
      <w:pPr>
        <w:pStyle w:val="ListBullet"/>
        <w:spacing w:after="60"/>
      </w:pPr>
      <w:r>
        <w:rPr>
          <w:b/>
        </w:rPr>
        <w:t>Paweł</w:t>
      </w:r>
      <w:r>
        <w:rPr/>
        <w:t>, jezuita, „pierwszy prowincjał prowincji litewskiej” (1608).</w:t>
      </w:r>
    </w:p>
    <w:p>
      <w:pPr>
        <w:pStyle w:val="ListBullet"/>
        <w:spacing w:after="60"/>
      </w:pPr>
      <w:r>
        <w:rPr>
          <w:b/>
        </w:rPr>
        <w:t>Stefan</w:t>
      </w:r>
      <w:r>
        <w:rPr/>
        <w:t>, kanonik gnieźnieński (1673–1689).</w:t>
      </w:r>
    </w:p>
    <w:p>
      <w:pPr>
        <w:pStyle w:val="ListBullet"/>
        <w:spacing w:after="60"/>
      </w:pPr>
      <w:r>
        <w:rPr>
          <w:b/>
        </w:rPr>
        <w:t>Walenty</w:t>
      </w:r>
      <w:r>
        <w:rPr/>
        <w:t>, kanonik kijowski i sandomierski, proboszcz kolegiaty w Klimontowie, gdzie są jego epitafium i portret. Zeszyt podaje datę 1740, kartka 1746.</w:t>
      </w:r>
    </w:p>
    <w:p>
      <w:pPr>
        <w:pStyle w:val="ListBullet"/>
        <w:spacing w:after="60"/>
      </w:pPr>
      <w:r>
        <w:rPr>
          <w:b/>
        </w:rPr>
        <w:t>Wojciech</w:t>
      </w:r>
      <w:r>
        <w:rPr/>
        <w:t>, biskup sufragan sandomierski i tytularny biskup kireneński[?], deputat na Trybunał Koronny w 1758 roku.</w:t>
      </w:r>
    </w:p>
    <w:p>
      <w:pPr>
        <w:pStyle w:val="ListBullet"/>
        <w:spacing w:after="60"/>
      </w:pPr>
      <w:r>
        <w:rPr>
          <w:b/>
        </w:rPr>
        <w:t>Jędrzej</w:t>
      </w:r>
      <w:r>
        <w:rPr/>
        <w:t>, zakonnik, który zmarł w Rzymie.</w:t>
      </w:r>
    </w:p>
    <w:p>
      <w:r>
        <w:rPr/>
        <w:t>Zeszyt notuje też „4 senatorów od 1618–1782”: biskupa Bogusława, kasztelanów wieluńskich Marka i Andrzeja oraz Michała, kasztelana brzezińskiego.</w:t>
      </w:r>
      <w:r>
        <w:rPr>
          <w:rStyle w:val="FootnoteReference"/>
        </w:rPr>
        <w:footnoteReference w:id="93"/>
      </w:r>
    </w:p>
    <w:p>
      <w:pPr>
        <w:pStyle w:val="Heading1"/>
        <w:pageBreakBefore/>
      </w:pPr>
      <w:r>
        <w:rPr/>
        <w:t>6. Wiek XVII i XVIII: od Stanisława do Michała kasztelana</w:t>
      </w:r>
    </w:p>
    <w:p>
      <w:pPr>
        <w:pStyle w:val="Heading2"/>
      </w:pPr>
      <w:r>
        <w:rPr/>
        <w:t>Stanisław i Salomea z Mycielina; dwór w 1679 roku</w:t>
      </w:r>
    </w:p>
    <w:p>
      <w:r>
        <w:rPr/>
        <w:t xml:space="preserve">Zeszyt rodzinny prowadzi linię dalej przez </w:t>
      </w:r>
      <w:r>
        <w:rPr>
          <w:b/>
        </w:rPr>
        <w:t>Stanisława z Radoszewic</w:t>
      </w:r>
      <w:r>
        <w:rPr/>
        <w:t xml:space="preserve"> (1657), żonatego z </w:t>
      </w:r>
      <w:r>
        <w:rPr>
          <w:b/>
        </w:rPr>
        <w:t>Wiktorią Oleśnińską herbu Ostoja</w:t>
      </w:r>
      <w:r>
        <w:rPr/>
        <w:t>. Mieli oni sześciu synów.</w:t>
      </w:r>
      <w:r>
        <w:rPr>
          <w:rStyle w:val="FootnoteReference"/>
        </w:rPr>
        <w:footnoteReference w:id="94"/>
      </w:r>
      <w:r>
        <w:rPr/>
        <w:t xml:space="preserve"> Akta z 1664 roku wymieniają Stanisława Radoszewskiego w sporach o grodzenie łąk i ogrodów „koło kościoła i na Lipku”.</w:t>
      </w:r>
      <w:r>
        <w:rPr>
          <w:rStyle w:val="FootnoteReference"/>
        </w:rPr>
        <w:footnoteReference w:id="95"/>
      </w:r>
    </w:p>
    <w:p>
      <w:r>
        <w:rPr/>
        <w:t xml:space="preserve">W </w:t>
      </w:r>
      <w:r>
        <w:rPr>
          <w:b/>
        </w:rPr>
        <w:t>1679 roku</w:t>
      </w:r>
      <w:r>
        <w:rPr/>
        <w:t xml:space="preserve"> zmarł </w:t>
      </w:r>
      <w:r>
        <w:rPr>
          <w:b/>
        </w:rPr>
        <w:t>Stanisław Boksa z Siemkowic Radoszewski</w:t>
      </w:r>
      <w:r>
        <w:rPr/>
        <w:t xml:space="preserve">. Na prośbę wdowy, </w:t>
      </w:r>
      <w:r>
        <w:rPr>
          <w:b/>
        </w:rPr>
        <w:t>Salomei z Mycielina</w:t>
      </w:r>
      <w:r>
        <w:rPr/>
        <w:t>, sporządzono wtedy obszerny inwentarz. To najdokładniejszy obraz Radoszewic za czasów Radoszewskich.</w:t>
      </w:r>
      <w:r>
        <w:rPr>
          <w:rStyle w:val="FootnoteReference"/>
        </w:rPr>
        <w:footnoteReference w:id="96"/>
      </w:r>
      <w:r>
        <w:rPr/>
        <w:t xml:space="preserve"> Do majątku należały Radoszewice, Kuszyna, Kuźnica zwana Ługowską i folwark w Mierzanowie.</w:t>
      </w:r>
    </w:p>
    <w:p>
      <w:r>
        <w:rPr/>
        <w:t>Dwór był typowym budynkiem osiowym. Miał wielką sień brukowaną kamieniem z dwoma kominami, izbę stołową z zielonym polewanym piecem i „pokój malowany” z pięcioma oknami w ołów oprawnymi i pstrym piecem. Były w nim też komory, kaplica i piwnica. Obok stał drugi budynek z dwiema izbami, kuchnią i spiżarnią oraz trzeci, zwany „Rozą”. Wokół były piekarnia, browar, stajnie, wozownia i wielka owczarnia na 500 owiec. W oborze stało „krów dwadzieścia i pięć dojnych”.</w:t>
      </w:r>
      <w:r>
        <w:rPr>
          <w:rStyle w:val="FootnoteReference"/>
        </w:rPr>
        <w:footnoteReference w:id="97"/>
      </w:r>
      <w:r>
        <w:rPr/>
        <w:t xml:space="preserve"> Inwentarz wymienia z imienia poddanych: kmieci Kantora, Kuśmierza, Chernacha, Rychlika, Głąbika, Domagałę, Kowalczyka, Czekaja, Sołtysa i Skudlarza. Dalej idą zagrodnicy, rzemieślnicy, komornice, karczmarz Szpakowski i młynarze na Warcie i na stawach.</w:t>
      </w:r>
      <w:r>
        <w:rPr>
          <w:rStyle w:val="FootnoteReference"/>
        </w:rPr>
        <w:footnoteReference w:id="98"/>
      </w:r>
      <w:r>
        <w:rPr/>
        <w:t xml:space="preserve"> Testamentem Stanisław zapisał synowi </w:t>
      </w:r>
      <w:r>
        <w:rPr>
          <w:b/>
        </w:rPr>
        <w:t>Andrzejowi</w:t>
      </w:r>
      <w:r>
        <w:rPr/>
        <w:t xml:space="preserve"> „rumaka siwego”, którego „ten Imci Pan zaraz wziął”.</w:t>
      </w:r>
      <w:r>
        <w:rPr>
          <w:rStyle w:val="FootnoteReference"/>
        </w:rPr>
        <w:footnoteReference w:id="99"/>
      </w:r>
    </w:p>
    <w:p>
      <w:r>
        <w:rPr/>
        <w:t>Zachował się też rachunek pogrzebu. Na msze w różnych kościołach wydano 120 florenów, a na kir 58. We Wrocławiu kupiono „korzenie, cukry, konfety i inne należne do pogrzebu potrzeby” za 216 złotych. Dwie beczki wina kosztowały 420 złotych, a „znowu w pogrzeb jak nie stało” dokupiono wina za 32 złote.</w:t>
      </w:r>
      <w:r>
        <w:rPr>
          <w:rStyle w:val="FootnoteReference"/>
        </w:rPr>
        <w:footnoteReference w:id="100"/>
      </w:r>
    </w:p>
    <w:p>
      <w:r>
        <w:rPr>
          <w:i/>
        </w:rPr>
        <w:t>Uwaga:</w:t>
      </w:r>
      <w:r>
        <w:rPr/>
        <w:t xml:space="preserve"> Stanisław z 1657 roku (żona Wiktoria Oleśnińska) i Stanisław zmarły w 1679 roku (żona Salomea z Mycielina) mogą być tą samą osobą, żonatą dwukrotnie. Źródła tego nie rozstrzygają.</w:t>
      </w:r>
    </w:p>
    <w:p>
      <w:pPr>
        <w:pStyle w:val="Heading2"/>
      </w:pPr>
      <w:r>
        <w:rPr/>
        <w:t>Franciszek, starosta szadkowski</w:t>
      </w:r>
    </w:p>
    <w:p>
      <w:r>
        <w:rPr/>
        <w:t xml:space="preserve">Następne ogniwo linii w zeszycie to </w:t>
      </w:r>
      <w:r>
        <w:rPr>
          <w:b/>
        </w:rPr>
        <w:t>Franciszek, starosta szadkowski</w:t>
      </w:r>
      <w:r>
        <w:rPr/>
        <w:t xml:space="preserve">, żonaty po raz drugi z </w:t>
      </w:r>
      <w:r>
        <w:rPr>
          <w:b/>
        </w:rPr>
        <w:t>Niborowską herbu Prawdzic</w:t>
      </w:r>
      <w:r>
        <w:rPr/>
        <w:t>.</w:t>
      </w:r>
      <w:r>
        <w:rPr>
          <w:rStyle w:val="FootnoteReference"/>
        </w:rPr>
        <w:footnoteReference w:id="101"/>
      </w:r>
    </w:p>
    <w:p>
      <w:pPr>
        <w:pStyle w:val="Heading2"/>
      </w:pPr>
      <w:r>
        <w:rPr/>
        <w:t>Michał z Siemkowic Boksa Radoszewski, kasztelan brzeziński (zm. 1775)</w:t>
      </w:r>
    </w:p>
    <w:p>
      <w:r>
        <w:rPr>
          <w:b/>
        </w:rPr>
        <w:t>Michał</w:t>
      </w:r>
      <w:r>
        <w:rPr/>
        <w:t xml:space="preserve"> był starostą szadkowskim (1764), a potem </w:t>
      </w:r>
      <w:r>
        <w:rPr>
          <w:b/>
        </w:rPr>
        <w:t>kasztelanem brzezińskim</w:t>
      </w:r>
      <w:r>
        <w:rPr/>
        <w:t>. Zeszyt podaje przy tym urzędzie lata 1775–1782.</w:t>
      </w:r>
      <w:r>
        <w:rPr>
          <w:rStyle w:val="FootnoteReference"/>
        </w:rPr>
        <w:footnoteReference w:id="102"/>
      </w:r>
      <w:r>
        <w:rPr/>
        <w:t xml:space="preserve"> Ożenił się z </w:t>
      </w:r>
      <w:r>
        <w:rPr>
          <w:b/>
        </w:rPr>
        <w:t>Marią (Marianną) Olszewską herbu Prus</w:t>
      </w:r>
      <w:r>
        <w:rPr/>
        <w:t>.</w:t>
      </w:r>
      <w:r>
        <w:rPr>
          <w:rStyle w:val="FootnoteReference"/>
        </w:rPr>
        <w:footnoteReference w:id="103"/>
      </w:r>
      <w:r>
        <w:rPr/>
        <w:t xml:space="preserve"> Miał Order św. Stanisława i rozbudował dwór w Siemkowicach. Według tradycji rodzinnej </w:t>
      </w:r>
      <w:r>
        <w:rPr>
          <w:b/>
        </w:rPr>
        <w:t>na sejmie 1773 roku wystąpił razem z Rejtanem przeciw rozbiorowi Polski</w:t>
      </w:r>
      <w:r>
        <w:rPr/>
        <w:t>. „Po rozbiorze wpadł w depresję, stracił wszystkie dobra, w tym też Matyń[?]”. Zostały mu „tylko Śmiechów, Krempa i Dominikowice”.</w:t>
      </w:r>
      <w:r>
        <w:rPr>
          <w:rStyle w:val="FootnoteReference"/>
        </w:rPr>
        <w:footnoteReference w:id="104"/>
      </w:r>
    </w:p>
    <w:p>
      <w:r>
        <w:rPr/>
        <w:t>Kajzer, opierając się na liście Anny z Prządzyńskich Radoszewskiej, pisze to samo: I rozbiór „tak podkopał stan majątkowy Michała z Siemkowic Boksy Radoszewskiego (†1775) kasztelana brzezińskiego, że rodzina szybko zbiedniała, straciła Radoszewice i przeniosła się w okolice Uniejowa”. Stało się to „bezpośrednio po I rozbiorze Polski, chyba około 1775 r.”, gdy Michał sprzedał Radoszewice Niemojowskim.</w:t>
      </w:r>
      <w:r>
        <w:rPr>
          <w:rStyle w:val="FootnoteReference"/>
        </w:rPr>
        <w:footnoteReference w:id="105"/>
      </w:r>
      <w:r>
        <w:rPr/>
        <w:t xml:space="preserve"> Kartka o kaplicy w Uniejowie ujmuje to krótko: Radoszewscy „stracili po I rozbiorze Polski 1772 r. dobra otrzymane od Bolesława Krzywoustego, Radoszewice i Siemkowice […] i przenieśli się do Śmiechowa, Krempy i Dominikowic”.</w:t>
      </w:r>
      <w:r>
        <w:rPr>
          <w:rStyle w:val="FootnoteReference"/>
        </w:rPr>
        <w:footnoteReference w:id="106"/>
      </w:r>
      <w:r>
        <w:rPr/>
        <w:t xml:space="preserve"> W rękopisie Łakomego ktoś inną ręką dopisał na marginesie, kto utracił Radoszewice: „stracił chyba Michał Kasztelan Brzeziński 1775 albo Roch Kasztelanic”.</w:t>
      </w:r>
      <w:r>
        <w:rPr>
          <w:rStyle w:val="FootnoteReference"/>
        </w:rPr>
        <w:footnoteReference w:id="107"/>
      </w:r>
    </w:p>
    <w:p>
      <w:r>
        <w:rPr/>
        <w:t>Łakomy i Kajzer różnią się w ocenie, jak długo ród trzymał Radoszewice. Łakomy pisze o „przeszło VI wiekach”, w drugiej pracy o „ok. 4 wiekach”, a Kajzer o okresie od połowy XV do końca XVIII wieku.</w:t>
      </w:r>
      <w:r>
        <w:rPr>
          <w:rStyle w:val="FootnoteReference"/>
        </w:rPr>
        <w:footnoteReference w:id="108"/>
      </w:r>
    </w:p>
    <w:p>
      <w:pPr>
        <w:pStyle w:val="Heading2"/>
      </w:pPr>
      <w:r>
        <w:rPr/>
        <w:t>Radoszewice po Radoszewskich</w:t>
      </w:r>
    </w:p>
    <w:p>
      <w:r>
        <w:rPr/>
        <w:t xml:space="preserve">Nowymi właścicielami Radoszewic, od połowy lub końca lat 70. XVIII wieku, zostali </w:t>
      </w:r>
      <w:r>
        <w:rPr>
          <w:b/>
        </w:rPr>
        <w:t>Andrzej, a potem Feliks Wierusz Niemojowscy</w:t>
      </w:r>
      <w:r>
        <w:rPr/>
        <w:t>. Według Kajzera była to „najbogatsza familia Wieluńskiego”.</w:t>
      </w:r>
      <w:r>
        <w:rPr>
          <w:rStyle w:val="FootnoteReference"/>
        </w:rPr>
        <w:footnoteReference w:id="109"/>
      </w:r>
      <w:r>
        <w:rPr/>
        <w:t xml:space="preserve"> To oni zbudowali zachowany do dziś dwór w Radoszewicach, w latach 70. lub 80. XVIII wieku. Od 1945 roku mieściła się w nim szkoła podstawowa.</w:t>
      </w:r>
      <w:r>
        <w:rPr>
          <w:rStyle w:val="FootnoteReference"/>
        </w:rPr>
        <w:footnoteReference w:id="110"/>
      </w:r>
      <w:r>
        <w:rPr/>
        <w:t xml:space="preserve"> Ostatnim Niemojowskim w Radoszewicach był </w:t>
      </w:r>
      <w:r>
        <w:rPr>
          <w:b/>
        </w:rPr>
        <w:t>Ludwik</w:t>
      </w:r>
      <w:r>
        <w:rPr/>
        <w:t xml:space="preserve"> (1823–1892), pisarz i zesłaniec na Sybir za pomoc powstańcom w 1863 roku. Jego siostra w bitwie pod Radoszewicami 27 marca 1863 roku „ocaliła sztandar powstańczy, wyrwawszy go z rąk śmiertelnie ranionego kosyniera”.</w:t>
      </w:r>
      <w:r>
        <w:rPr>
          <w:rStyle w:val="FootnoteReference"/>
        </w:rPr>
        <w:footnoteReference w:id="111"/>
      </w:r>
      <w:r>
        <w:rPr/>
        <w:t xml:space="preserve"> To już jednak dzieje innego rodu.</w:t>
      </w:r>
    </w:p>
    <w:p>
      <w:pPr>
        <w:keepNext/>
        <w:jc w:val="center"/>
      </w:pPr>
      <w:r>
        <w:drawing>
          <wp:inline xmlns:a="http://schemas.openxmlformats.org/drawingml/2006/main" xmlns:pic="http://schemas.openxmlformats.org/drawingml/2006/picture">
            <wp:extent cx="4860000" cy="6480000"/>
            <wp:docPr id="2" name="Picture 2"/>
            <wp:cNvGraphicFramePr>
              <a:graphicFrameLocks noChangeAspect="1"/>
            </wp:cNvGraphicFramePr>
            <a:graphic>
              <a:graphicData uri="http://schemas.openxmlformats.org/drawingml/2006/picture">
                <pic:pic>
                  <pic:nvPicPr>
                    <pic:cNvPr id="0" name="IMG_5996.jpg"/>
                    <pic:cNvPicPr/>
                  </pic:nvPicPr>
                  <pic:blipFill>
                    <a:blip r:embed="rId11"/>
                    <a:stretch>
                      <a:fillRect/>
                    </a:stretch>
                  </pic:blipFill>
                  <pic:spPr>
                    <a:xfrm>
                      <a:off x="0" y="0"/>
                      <a:ext cx="4860000" cy="6480000"/>
                    </a:xfrm>
                    <a:prstGeom prst="rect"/>
                  </pic:spPr>
                </pic:pic>
              </a:graphicData>
            </a:graphic>
          </wp:inline>
        </w:drawing>
      </w:r>
    </w:p>
    <w:p>
      <w:pPr>
        <w:pStyle w:val="Caption"/>
        <w:jc w:val="center"/>
      </w:pPr>
      <w:r>
        <w:rPr/>
        <w:t>Radoszewice — plan sytuacyjny zespołu dworskiego (Kajzer, S08, s. 124)</w:t>
      </w:r>
    </w:p>
    <w:p>
      <w:r>
        <w:rPr/>
        <w:t xml:space="preserve">Siemkowice Radoszewscy opuścili wcześniej. Według Kajzera Siemkowscy wyprowadzili się z nich w końcu XVII wieku, a dobra przeszły na Święcickich, a potem Karśnickich. </w:t>
      </w:r>
      <w:r>
        <w:rPr>
          <w:i/>
        </w:rPr>
        <w:t>Ciekawostka:</w:t>
      </w:r>
      <w:r>
        <w:rPr/>
        <w:t xml:space="preserve"> w tradycji Karśnickich zachowała się wersja, że weszli oni w posiadanie Siemkowic „już około 1639 r., poprzez małżeństwo z Radoszewską”. Źródła nie mówią, o którą Radoszewską chodzi.</w:t>
      </w:r>
      <w:r>
        <w:rPr>
          <w:rStyle w:val="FootnoteReference"/>
        </w:rPr>
        <w:footnoteReference w:id="112"/>
      </w:r>
    </w:p>
    <w:p>
      <w:pPr>
        <w:pStyle w:val="Heading1"/>
        <w:pageBreakBefore/>
      </w:pPr>
      <w:r>
        <w:rPr/>
        <w:t>7. Na nowym miejscu: Krempa, Śmiechów i Dominikowice (koniec XVIII – połowa XIX wieku)</w:t>
      </w:r>
    </w:p>
    <w:p>
      <w:pPr>
        <w:pStyle w:val="Heading2"/>
      </w:pPr>
      <w:r>
        <w:rPr/>
        <w:t>Klucz krempski</w:t>
      </w:r>
    </w:p>
    <w:p>
      <w:r>
        <w:rPr/>
        <w:t xml:space="preserve">Po utracie Radoszewic rodzina osiadła w okolicy Poddębic i Uniejowa, około 8 km na zachód od Poddębic. Ziemie te należały dawniej do powiatu szadkowskiego województwa sieradzkiego, a w XIX wieku do gminy Niewiesz w powiecie tureckim. Składały się z czterech wsi: </w:t>
      </w:r>
      <w:r>
        <w:rPr>
          <w:b/>
        </w:rPr>
        <w:t>Krempy, Śmiechowa, Dominikowic i Krajkowic</w:t>
      </w:r>
      <w:r>
        <w:rPr/>
        <w:t>. Parafią Krempy i Śmiechowa był Niemysłów, a Dominikowic Uniejów.</w:t>
      </w:r>
      <w:r>
        <w:rPr>
          <w:rStyle w:val="FootnoteReference"/>
        </w:rPr>
        <w:footnoteReference w:id="113"/>
      </w:r>
      <w:r>
        <w:rPr/>
        <w:t xml:space="preserve"> Kajzer sądzi, że czterowioskowy klucz „ma stosunkowo młodą metrykę i uformował się dopiero w czasach Olszowskich w XVII w.” Krempa pojawia się w źródłach w 1488 roku. W 1727 roku zmarł Antoni Olszowski, właściciel Krempy, Dominikowic, Krajkowic i Śmiechowa. W 1747 roku browar i obory dzierżawił Antoni Bajbuza. W </w:t>
      </w:r>
      <w:r>
        <w:rPr>
          <w:b/>
        </w:rPr>
        <w:t>1780 roku</w:t>
      </w:r>
      <w:r>
        <w:rPr/>
        <w:t xml:space="preserve"> większość Krempy oraz Dominikowice, Krajkowice i Śmiechów „należały już wtedy do Radoszewskich herbu Oksza”.</w:t>
      </w:r>
      <w:r>
        <w:rPr>
          <w:rStyle w:val="FootnoteReference"/>
        </w:rPr>
        <w:footnoteReference w:id="114"/>
      </w:r>
      <w:r>
        <w:rPr/>
        <w:t xml:space="preserve"> Od końca XVIII wieku aż do II wojny światowej Krempa pozostawała w ręku Radoszewskich.</w:t>
      </w:r>
      <w:r>
        <w:rPr>
          <w:rStyle w:val="FootnoteReference"/>
        </w:rPr>
        <w:footnoteReference w:id="115"/>
      </w:r>
      <w:r>
        <w:rPr/>
        <w:t xml:space="preserve"> Kartka o Jerzym Radoszewskim mówi nawet, że „majątek Krempa należał przez 400 lat do Radoszewskich”.</w:t>
      </w:r>
      <w:r>
        <w:rPr>
          <w:rStyle w:val="FootnoteReference"/>
        </w:rPr>
        <w:footnoteReference w:id="116"/>
      </w:r>
      <w:r>
        <w:rPr/>
        <w:t xml:space="preserve"> Księga rodzinna wylicza „nasze domy”. Radoszewice i Siemkowice należały do rodu od XII wieku do rozbiorów, Dominikowice do 1914 roku, a Krempa, Śmiechów (i Kościerzyn) do II wojny światowej.</w:t>
      </w:r>
      <w:r>
        <w:rPr>
          <w:rStyle w:val="FootnoteReference"/>
        </w:rPr>
        <w:footnoteReference w:id="117"/>
      </w:r>
    </w:p>
    <w:p>
      <w:pPr>
        <w:pStyle w:val="Heading2"/>
      </w:pPr>
      <w:r>
        <w:rPr/>
        <w:t>Roch kasztelanic i Kunegunda z Wierzchleyskich</w:t>
      </w:r>
    </w:p>
    <w:p>
      <w:r>
        <w:rPr/>
        <w:t xml:space="preserve">Synem kasztelana Michała i Marianny z Olszewskich był </w:t>
      </w:r>
      <w:r>
        <w:rPr>
          <w:b/>
        </w:rPr>
        <w:t>Roch</w:t>
      </w:r>
      <w:r>
        <w:rPr/>
        <w:t xml:space="preserve">, nazywany kasztelanicem, zmarły w </w:t>
      </w:r>
      <w:r>
        <w:rPr>
          <w:b/>
        </w:rPr>
        <w:t>1820 roku</w:t>
      </w:r>
      <w:r>
        <w:rPr/>
        <w:t xml:space="preserve">. Jego żoną była </w:t>
      </w:r>
      <w:r>
        <w:rPr>
          <w:b/>
        </w:rPr>
        <w:t>Kunegunda z Wierzchleyskich herbu Bernstein</w:t>
      </w:r>
      <w:r>
        <w:rPr/>
        <w:t xml:space="preserve">, zmarła w </w:t>
      </w:r>
      <w:r>
        <w:rPr>
          <w:b/>
        </w:rPr>
        <w:t>1828 roku</w:t>
      </w:r>
      <w:r>
        <w:rPr/>
        <w:t>.</w:t>
      </w:r>
      <w:r>
        <w:rPr>
          <w:rStyle w:val="FootnoteReference"/>
        </w:rPr>
        <w:footnoteReference w:id="118"/>
      </w:r>
      <w:r>
        <w:rPr/>
        <w:t xml:space="preserve"> W zeszycie rodzinnym ostatnia cyfra roku śmierci Kunegundy jest poprawiana (1826 albo 1828). Dopisek na marginesie rękopisu Łakomego podaje rok 1828 przy Rochu.</w:t>
      </w:r>
      <w:r>
        <w:rPr>
          <w:rStyle w:val="FootnoteReference"/>
        </w:rPr>
        <w:footnoteReference w:id="119"/>
      </w:r>
      <w:r>
        <w:rPr/>
        <w:t xml:space="preserve"> Ciała obojga przeniesiono później do krypty nowej kaplicy rodowej w Uniejowie.</w:t>
      </w:r>
      <w:r>
        <w:rPr>
          <w:rStyle w:val="FootnoteReference"/>
        </w:rPr>
        <w:footnoteReference w:id="120"/>
      </w:r>
    </w:p>
    <w:p>
      <w:pPr>
        <w:pStyle w:val="Heading2"/>
      </w:pPr>
      <w:r>
        <w:rPr/>
        <w:t>Józef Boxa Radoszewski z Opatówka (1791–1831) i baronowie Radoszewscy</w:t>
      </w:r>
    </w:p>
    <w:p>
      <w:r>
        <w:rPr/>
        <w:t xml:space="preserve">Z tego pokolenia pochodzi też </w:t>
      </w:r>
      <w:r>
        <w:rPr>
          <w:b/>
        </w:rPr>
        <w:t>Józef Boxa Radoszewski</w:t>
      </w:r>
      <w:r>
        <w:rPr/>
        <w:t xml:space="preserve"> (1791–1831), urodzony 23 lutego w Kuchlinie[?] koło Turku. Był dyrektorem generalnym Komisji Rządowej Spraw Wewnętrznych. Zeszyt rodzinny zestawia dwie wersje jego pochodzenia. Według </w:t>
      </w:r>
      <w:r>
        <w:rPr>
          <w:i/>
        </w:rPr>
        <w:t>Wielkopolskiego słownika biograficznego</w:t>
      </w:r>
      <w:r>
        <w:rPr/>
        <w:t xml:space="preserve"> był synem Jana i Marcjanny z Umińskich. Według </w:t>
      </w:r>
      <w:r>
        <w:rPr>
          <w:i/>
        </w:rPr>
        <w:t>Genealogii żyjących utytułowanych rodów polskich</w:t>
      </w:r>
      <w:r>
        <w:rPr/>
        <w:t xml:space="preserve"> Dunina-Borkowskiego był synem Rocha.</w:t>
      </w:r>
      <w:r>
        <w:rPr>
          <w:rStyle w:val="FootnoteReference"/>
        </w:rPr>
        <w:footnoteReference w:id="121"/>
      </w:r>
      <w:r>
        <w:rPr/>
        <w:t xml:space="preserve"> Józef ożenił się z </w:t>
      </w:r>
      <w:r>
        <w:rPr>
          <w:b/>
        </w:rPr>
        <w:t>Aleksandrą z Zajączków herbu Świnka</w:t>
      </w:r>
      <w:r>
        <w:rPr/>
        <w:t xml:space="preserve"> i dostał od generała Zajączka dobra </w:t>
      </w:r>
      <w:r>
        <w:rPr>
          <w:b/>
        </w:rPr>
        <w:t>Opatówek koło Kalisza</w:t>
      </w:r>
      <w:r>
        <w:rPr/>
        <w:t>.</w:t>
      </w:r>
      <w:r>
        <w:rPr>
          <w:rStyle w:val="FootnoteReference"/>
        </w:rPr>
        <w:footnoteReference w:id="122"/>
      </w:r>
      <w:r>
        <w:rPr/>
        <w:t xml:space="preserve"> Kajzer wyjaśnia, że Aleksandra była „właściwie bratanicą-wychowanicą” generała Józefa Zajączka (zm. 1826), namiestnika Królestwa Polskiego, i była „najposażniejszą partią w ówczesnej Polsce”. W Krempie oceniano to małżeństwo „bez zachwytu”, bo generał „dla sporej części społeczeństwa polskiego był zdrajcą-renegatem”. Do tego „nie dotarły też do Krempy pieniądze namiestnikowskie”.</w:t>
      </w:r>
      <w:r>
        <w:rPr>
          <w:rStyle w:val="FootnoteReference"/>
        </w:rPr>
        <w:footnoteReference w:id="123"/>
      </w:r>
      <w:r>
        <w:rPr/>
        <w:t xml:space="preserve"> W kościele w Opatówku zachowały się cztery srebrne tabliczki trumienne generała Zajączka i Radoszewskich.</w:t>
      </w:r>
      <w:r>
        <w:rPr>
          <w:rStyle w:val="FootnoteReference"/>
        </w:rPr>
        <w:footnoteReference w:id="124"/>
      </w:r>
    </w:p>
    <w:p>
      <w:r>
        <w:rPr/>
        <w:t xml:space="preserve">Syn Józefa, </w:t>
      </w:r>
      <w:r>
        <w:rPr>
          <w:b/>
        </w:rPr>
        <w:t>Ignacy</w:t>
      </w:r>
      <w:r>
        <w:rPr/>
        <w:t xml:space="preserve"> (1816–1886), był </w:t>
      </w:r>
      <w:r>
        <w:rPr>
          <w:b/>
        </w:rPr>
        <w:t>baronem saksko-gotajskim</w:t>
      </w:r>
      <w:r>
        <w:rPr/>
        <w:t xml:space="preserve">. Pierwszą żoną była Zalistowska[?] herbu Pilawa[?], drugą </w:t>
      </w:r>
      <w:r>
        <w:rPr>
          <w:b/>
        </w:rPr>
        <w:t>Amelia Rosdeitscher[?]</w:t>
      </w:r>
      <w:r>
        <w:rPr/>
        <w:t xml:space="preserve"> (ur. 1840 lub 1841, zm. 1926). Miał troje dzieci:</w:t>
      </w:r>
    </w:p>
    <w:p>
      <w:pPr>
        <w:pStyle w:val="ListBullet"/>
        <w:spacing w:after="60"/>
      </w:pPr>
      <w:r>
        <w:rPr/>
        <w:t>Józefa (ur. 1840), żonatego z Teklą Radolińską;</w:t>
      </w:r>
    </w:p>
    <w:p>
      <w:pPr>
        <w:pStyle w:val="ListBullet"/>
        <w:spacing w:after="60"/>
      </w:pPr>
      <w:r>
        <w:rPr/>
        <w:t>Aleksandrę (ur. 1861), która wyszła za Jagmina[?] Warnickiego[?], a w 1890 roku wróciła do nazwiska Radoszewska;</w:t>
      </w:r>
    </w:p>
    <w:p>
      <w:pPr>
        <w:pStyle w:val="ListBullet"/>
        <w:spacing w:after="60"/>
      </w:pPr>
      <w:r>
        <w:rPr/>
        <w:t>Marię (1864–1885).</w:t>
      </w:r>
    </w:p>
    <w:p>
      <w:r>
        <w:rPr/>
        <w:t>Ignacy, Amelia i Maria spoczywają na cmentarzu ewangelicko-augsburskim przy ul. Młynarskiej w Warszawie (aleja 1, grób 75).</w:t>
      </w:r>
      <w:r>
        <w:rPr>
          <w:rStyle w:val="FootnoteReference"/>
        </w:rPr>
        <w:footnoteReference w:id="125"/>
      </w:r>
    </w:p>
    <w:p>
      <w:pPr>
        <w:pStyle w:val="Heading2"/>
      </w:pPr>
      <w:r>
        <w:rPr/>
        <w:t>Franciszek (1790–1846) i Józefa ze Skrzyńskich (1807–1856)</w:t>
      </w:r>
    </w:p>
    <w:p>
      <w:r>
        <w:rPr/>
        <w:t xml:space="preserve">Główną linię kontynuował </w:t>
      </w:r>
      <w:r>
        <w:rPr>
          <w:b/>
        </w:rPr>
        <w:t>Franciszek</w:t>
      </w:r>
      <w:r>
        <w:rPr/>
        <w:t xml:space="preserve">, syn Rocha i Kunegundy. Urodził się w 1790 roku, a zmarł </w:t>
      </w:r>
      <w:r>
        <w:rPr>
          <w:b/>
        </w:rPr>
        <w:t>15 grudnia 1846 roku</w:t>
      </w:r>
      <w:r>
        <w:rPr/>
        <w:t xml:space="preserve"> w Warszawie, nie zostawiając testamentu.</w:t>
      </w:r>
      <w:r>
        <w:rPr>
          <w:rStyle w:val="FootnoteReference"/>
        </w:rPr>
        <w:footnoteReference w:id="126"/>
      </w:r>
      <w:r>
        <w:rPr/>
        <w:t xml:space="preserve"> Jego żoną była </w:t>
      </w:r>
      <w:r>
        <w:rPr>
          <w:b/>
        </w:rPr>
        <w:t>Józefa ze Skrzyńskich herbu Zaremba</w:t>
      </w:r>
      <w:r>
        <w:rPr/>
        <w:t xml:space="preserve"> (1807–1856), z Nowej Wsi i Gostkowa, córka Ludwika Skrzyńskiego i Domiceli z Dąbrowskich.</w:t>
      </w:r>
      <w:r>
        <w:rPr>
          <w:rStyle w:val="FootnoteReference"/>
        </w:rPr>
        <w:footnoteReference w:id="127"/>
      </w:r>
      <w:r>
        <w:rPr/>
        <w:t xml:space="preserve"> Oboje pochowano na Powązkach, w grobie rodzinnym w kwaterze 157. Portret Franciszka był u Anny Radoszewskiej (albo Andrzeja; inicjał „A.” jest dwuznaczny).</w:t>
      </w:r>
      <w:r>
        <w:rPr>
          <w:rStyle w:val="FootnoteReference"/>
        </w:rPr>
        <w:footnoteReference w:id="128"/>
      </w:r>
    </w:p>
    <w:p>
      <w:r>
        <w:rPr/>
        <w:t xml:space="preserve">Gospodarowali w dobrach razem z bratem Franciszka, </w:t>
      </w:r>
      <w:r>
        <w:rPr>
          <w:b/>
        </w:rPr>
        <w:t>Józefatem „starszym”</w:t>
      </w:r>
      <w:r>
        <w:rPr/>
        <w:t xml:space="preserve">. Józefat mieszkał w Śmiechowie, a siedzibą Franciszka były </w:t>
      </w:r>
      <w:r>
        <w:rPr>
          <w:b/>
        </w:rPr>
        <w:t>Dominikowice</w:t>
      </w:r>
      <w:r>
        <w:rPr/>
        <w:t xml:space="preserve">. W </w:t>
      </w:r>
      <w:r>
        <w:rPr>
          <w:b/>
        </w:rPr>
        <w:t>1847 roku</w:t>
      </w:r>
      <w:r>
        <w:rPr/>
        <w:t>, na życzenie wdowy, spisano inwentarz majątku. Kajzer nazywa go „najlepszym źródłem dotyczącym rodziny i jej włości” w XIX wieku.</w:t>
      </w:r>
      <w:r>
        <w:rPr>
          <w:rStyle w:val="FootnoteReference"/>
        </w:rPr>
        <w:footnoteReference w:id="129"/>
      </w:r>
      <w:r>
        <w:rPr/>
        <w:t xml:space="preserve"> Inwentarz pokazuje stan dóbr:</w:t>
      </w:r>
    </w:p>
    <w:p>
      <w:pPr>
        <w:pStyle w:val="ListBullet"/>
        <w:spacing w:after="60"/>
      </w:pPr>
      <w:r>
        <w:rPr/>
        <w:t>część z Dominikowicami wyceniono na 40 000 złp (6000 rubli srebrnych), a Śmiechów na 30 000 złp (4500 rs);</w:t>
      </w:r>
    </w:p>
    <w:p>
      <w:pPr>
        <w:pStyle w:val="ListBullet"/>
        <w:spacing w:after="60"/>
      </w:pPr>
      <w:r>
        <w:rPr/>
        <w:t>meble w drewnianym dworze w Dominikowicach były warte ponad 201 rs, szkło i porcelana prawie 48 rs, „2 obrazy na papierze” 60 kopiejek, a narzędzia do gorzelni i browaru ponad 969 rs;</w:t>
      </w:r>
    </w:p>
    <w:p>
      <w:pPr>
        <w:pStyle w:val="ListBullet"/>
        <w:spacing w:after="60"/>
      </w:pPr>
      <w:r>
        <w:rPr/>
        <w:t>aktywa wyniosły 22 129 rs, a długi 27 733 rs, czyli długi przewyższały majątek o 5,6 tysiąca rubli.</w:t>
      </w:r>
    </w:p>
    <w:p>
      <w:r>
        <w:rPr/>
        <w:t>Krempa nie była wtedy jeszcze ośrodkiem włości i nie stał w niej dwór.</w:t>
      </w:r>
      <w:r>
        <w:rPr>
          <w:rStyle w:val="FootnoteReference"/>
        </w:rPr>
        <w:footnoteReference w:id="130"/>
      </w:r>
    </w:p>
    <w:p>
      <w:r>
        <w:rPr/>
        <w:t xml:space="preserve">Zeszyt rodzinny wymienia też drugiego brata Franciszka, </w:t>
      </w:r>
      <w:r>
        <w:rPr>
          <w:b/>
        </w:rPr>
        <w:t>Józefa z Dominikowic</w:t>
      </w:r>
      <w:r>
        <w:rPr/>
        <w:t>, zmarłego w 1850 roku i pochowanego w Uniejowie. Kajzer o nim nie wspomina. Może to ta sama osoba co Józefat „starszy”, ale źródła tego nie rozstrzygają.</w:t>
      </w:r>
      <w:r>
        <w:rPr>
          <w:rStyle w:val="FootnoteReference"/>
        </w:rPr>
        <w:footnoteReference w:id="131"/>
      </w:r>
    </w:p>
    <w:p>
      <w:r>
        <w:rPr/>
        <w:t>Inwentarz wymienia nieletnie dzieci Franciszka: Ludwikę, Henryka, Józefata i Józefę-Julię.</w:t>
      </w:r>
      <w:r>
        <w:rPr>
          <w:rStyle w:val="FootnoteReference"/>
        </w:rPr>
        <w:footnoteReference w:id="132"/>
      </w:r>
      <w:r>
        <w:rPr/>
        <w:t xml:space="preserve"> Według zapisków rodzinnych byli to:</w:t>
      </w:r>
    </w:p>
    <w:p>
      <w:pPr>
        <w:pStyle w:val="ListBullet"/>
        <w:spacing w:after="60"/>
      </w:pPr>
      <w:r>
        <w:rPr>
          <w:b/>
        </w:rPr>
        <w:t>Ludwika</w:t>
      </w:r>
      <w:r>
        <w:rPr/>
        <w:t xml:space="preserve"> (1827–1875), żona </w:t>
      </w:r>
      <w:r>
        <w:rPr>
          <w:b/>
        </w:rPr>
        <w:t>Albina Radoszewskiego z Neru</w:t>
      </w:r>
      <w:r>
        <w:rPr/>
        <w:t xml:space="preserve"> (zob. niżej), pochowana na Powązkach;</w:t>
      </w:r>
      <w:r>
        <w:rPr>
          <w:rStyle w:val="FootnoteReference"/>
        </w:rPr>
        <w:footnoteReference w:id="133"/>
      </w:r>
    </w:p>
    <w:p>
      <w:pPr>
        <w:pStyle w:val="ListBullet"/>
        <w:spacing w:after="60"/>
      </w:pPr>
      <w:r>
        <w:rPr>
          <w:b/>
        </w:rPr>
        <w:t>Henryk</w:t>
      </w:r>
      <w:r>
        <w:rPr/>
        <w:t>, kawaler, zmarły w 1861 roku w wieku 33 lat i pochowany w Uniejowie (księga rodzinna podaje w jednym miejscu rok 1850);</w:t>
      </w:r>
      <w:r>
        <w:rPr>
          <w:rStyle w:val="FootnoteReference"/>
        </w:rPr>
        <w:footnoteReference w:id="134"/>
      </w:r>
    </w:p>
    <w:p>
      <w:pPr>
        <w:pStyle w:val="ListBullet"/>
        <w:spacing w:after="60"/>
      </w:pPr>
      <w:r>
        <w:rPr>
          <w:b/>
        </w:rPr>
        <w:t>Julia</w:t>
      </w:r>
      <w:r>
        <w:rPr/>
        <w:t>, żona Nikodema Otockiego, zmarła w 1860 roku. Jej córką była Ludmiła, po mężu Leżnowska[?]. Wśród dalszych potomków księga wymienia Jana, Krystynę, Annę i Andrzeja oraz Celinę, po mężu Wyleżyńską[?], której dzieci Ludomir i Janina zginęły w czasie II wojny światowej;</w:t>
      </w:r>
      <w:r>
        <w:rPr>
          <w:rStyle w:val="FootnoteReference"/>
        </w:rPr>
        <w:footnoteReference w:id="135"/>
      </w:r>
    </w:p>
    <w:p>
      <w:pPr>
        <w:pStyle w:val="ListBullet"/>
        <w:spacing w:after="60"/>
      </w:pPr>
      <w:r>
        <w:rPr>
          <w:b/>
        </w:rPr>
        <w:t>Józefat</w:t>
      </w:r>
      <w:r>
        <w:rPr/>
        <w:t xml:space="preserve"> (1830–1892), dziedzic Krempy.</w:t>
      </w:r>
    </w:p>
    <w:p>
      <w:pPr>
        <w:pStyle w:val="Heading1"/>
        <w:pageBreakBefore/>
      </w:pPr>
      <w:r>
        <w:rPr/>
        <w:t>8. Józefat (1830–1892) i Teofila z Szeliskich (1842–1909): Krempa w czasach powstania</w:t>
      </w:r>
    </w:p>
    <w:p>
      <w:pPr>
        <w:pStyle w:val="Heading2"/>
      </w:pPr>
      <w:r>
        <w:rPr/>
        <w:t>Nowy dwór i park</w:t>
      </w:r>
    </w:p>
    <w:p>
      <w:r>
        <w:rPr/>
        <w:t xml:space="preserve">Józefat po dojściu do pełnoletności przejął całą włość mimo długów ojca. Opuścił stare dwory w Dominikowicach i Śmiechowie i zbudował </w:t>
      </w:r>
      <w:r>
        <w:rPr>
          <w:b/>
        </w:rPr>
        <w:t>nowy, murowany dwór w Krempie</w:t>
      </w:r>
      <w:r>
        <w:rPr/>
        <w:t>, około 1860 roku (w każdym razie po 1847, a przed 1863 rokiem).</w:t>
      </w:r>
      <w:r>
        <w:rPr>
          <w:rStyle w:val="FootnoteReference"/>
        </w:rPr>
        <w:footnoteReference w:id="136"/>
      </w:r>
      <w:r>
        <w:rPr/>
        <w:t xml:space="preserve"> Dwór był podpiwniczony, z pięterkiem, siedmioosiowy, z herbem Oksza w szczycie frontonu.</w:t>
      </w:r>
      <w:r>
        <w:rPr>
          <w:rStyle w:val="FootnoteReference"/>
        </w:rPr>
        <w:footnoteReference w:id="137"/>
      </w:r>
      <w:r>
        <w:rPr/>
        <w:t xml:space="preserve"> Józefat uregulował serwituty i przesiedlił wieś, która stała pierwotnie na tzw. Sadziskach koło czwartego stawu, w stronę dawnej krochmalni, potem gorzelni.</w:t>
      </w:r>
      <w:r>
        <w:rPr>
          <w:rStyle w:val="FootnoteReference"/>
        </w:rPr>
        <w:footnoteReference w:id="138"/>
      </w:r>
      <w:r>
        <w:rPr/>
        <w:t xml:space="preserve"> Zeszyt rodzinny dodaje: „Był b. gościnny. Sławne były kuligi w Krempie”.</w:t>
      </w:r>
      <w:r>
        <w:rPr>
          <w:rStyle w:val="FootnoteReference"/>
        </w:rPr>
        <w:footnoteReference w:id="139"/>
      </w:r>
    </w:p>
    <w:p>
      <w:r>
        <w:rPr/>
        <w:t xml:space="preserve">Żoną Józefata była </w:t>
      </w:r>
      <w:r>
        <w:rPr>
          <w:b/>
        </w:rPr>
        <w:t>Teofila z Szeliskich</w:t>
      </w:r>
      <w:r>
        <w:rPr/>
        <w:t xml:space="preserve"> (1842–1909) z Marzenina, córka </w:t>
      </w:r>
      <w:r>
        <w:rPr>
          <w:b/>
        </w:rPr>
        <w:t>Michała Szeliskiego</w:t>
      </w:r>
      <w:r>
        <w:rPr/>
        <w:t xml:space="preserve"> (1800–1866) i </w:t>
      </w:r>
      <w:r>
        <w:rPr>
          <w:b/>
        </w:rPr>
        <w:t>Antoniny z Rozrażewskich[?]</w:t>
      </w:r>
      <w:r>
        <w:rPr/>
        <w:t>. Zapiski przypisują jej herb Szeliga, ale w jednym miejscu zeszytu „Szeliga” jest przekreślone, a nad nim dopisano „Lubicz”.</w:t>
      </w:r>
      <w:r>
        <w:rPr>
          <w:rStyle w:val="FootnoteReference"/>
        </w:rPr>
        <w:footnoteReference w:id="140"/>
      </w:r>
      <w:r>
        <w:rPr/>
        <w:t xml:space="preserve"> Ojciec Teofili po sprzedaży Marzenina zamieszkał w Krempie i spoczął w krypcie w Uniejowie.</w:t>
      </w:r>
      <w:r>
        <w:rPr>
          <w:rStyle w:val="FootnoteReference"/>
        </w:rPr>
        <w:footnoteReference w:id="141"/>
      </w:r>
      <w:r>
        <w:rPr/>
        <w:t xml:space="preserve"> Za czasów Józefata i Teofili założono </w:t>
      </w:r>
      <w:r>
        <w:rPr>
          <w:b/>
        </w:rPr>
        <w:t>park w Krempie</w:t>
      </w:r>
      <w:r>
        <w:rPr/>
        <w:t xml:space="preserve">. Aleję wjazdową obsadzono piramidalnymi tujami. Rosły w nim szpaler grabowy, aleja kasztanowców, pomnikowe dęby, srebrne świerki, płaczące jesiony i tulipanowce. Rosły też </w:t>
      </w:r>
      <w:r>
        <w:rPr>
          <w:b/>
        </w:rPr>
        <w:t>morwy</w:t>
      </w:r>
      <w:r>
        <w:rPr/>
        <w:t>, „gdyż Teofila Radoszewska prowadziła hodowlę jedwabników”.</w:t>
      </w:r>
      <w:r>
        <w:rPr>
          <w:rStyle w:val="FootnoteReference"/>
        </w:rPr>
        <w:footnoteReference w:id="142"/>
      </w:r>
      <w:r>
        <w:rPr/>
        <w:t xml:space="preserve"> Teofila prowadziła w Krempie ochronkę dla dzieci, która działała do II wojny światowej. Na kurację jeździła do Karlsbadu i Marienbadu, skąd „przywoziła piękne szkła i kryształy z monogramami”.</w:t>
      </w:r>
      <w:r>
        <w:rPr>
          <w:rStyle w:val="FootnoteReference"/>
        </w:rPr>
        <w:footnoteReference w:id="143"/>
      </w:r>
    </w:p>
    <w:p>
      <w:pPr>
        <w:pStyle w:val="Heading2"/>
      </w:pPr>
      <w:r>
        <w:rPr/>
        <w:t>Rok 1863</w:t>
      </w:r>
    </w:p>
    <w:p>
      <w:r>
        <w:rPr/>
        <w:t xml:space="preserve">W czasie </w:t>
      </w:r>
      <w:r>
        <w:rPr>
          <w:b/>
        </w:rPr>
        <w:t>powstania styczniowego</w:t>
      </w:r>
      <w:r>
        <w:rPr/>
        <w:t xml:space="preserve"> Józefat był </w:t>
      </w:r>
      <w:r>
        <w:rPr>
          <w:b/>
        </w:rPr>
        <w:t>naczelnikiem powiatu</w:t>
      </w:r>
      <w:r>
        <w:rPr/>
        <w:t>. Potem przez pół roku był więziony w Cytadeli Warszawskiej.</w:t>
      </w:r>
      <w:r>
        <w:rPr>
          <w:rStyle w:val="FootnoteReference"/>
        </w:rPr>
        <w:footnoteReference w:id="144"/>
      </w:r>
      <w:r>
        <w:rPr/>
        <w:t xml:space="preserve"> We dworze w Krempie ukrywano rannych powstańców. Zeszyt rodzinny opisuje to tak:</w:t>
      </w:r>
    </w:p>
    <w:p>
      <w:pPr>
        <w:pStyle w:val="Quote"/>
      </w:pPr>
      <w:r>
        <w:rPr/>
        <w:t>„Podczas Powstania 1863 r. po bitwie pod Niewierszem[?] rannych powstańców przywieziono do Krempy. Schowani byli we dworze i w kuchmalach[?]. Dragoni rosyjscy otoczyli dwór i chcieli szukać rannych. Teofila wyszła na ganek (a była wtedy w ciąży) i tak do nich przemówiła, że odjechali nie szukając powstańców”.</w:t>
      </w:r>
      <w:r>
        <w:rPr>
          <w:rStyle w:val="FootnoteReference"/>
        </w:rPr>
        <w:footnoteReference w:id="145"/>
      </w:r>
    </w:p>
    <w:p>
      <w:r>
        <w:rPr/>
        <w:t>Kartka o kaplicy w Uniejowie umieszcza to zdarzenie „po bitwie pod Niemysłowem 23 maja 1863 r.”</w:t>
      </w:r>
      <w:r>
        <w:rPr>
          <w:rStyle w:val="FootnoteReference"/>
        </w:rPr>
        <w:footnoteReference w:id="146"/>
      </w:r>
      <w:r>
        <w:rPr/>
        <w:t xml:space="preserve"> Kajzer, za opracowaniem Anny Radoszewskiej, podaje inną wersję zakończenia. Według niego żona Józefata, „znajdująca się w zaawansowanej ciąży”, „zdołała upić Kozaków, którzy nie splądrowali domu”.</w:t>
      </w:r>
      <w:r>
        <w:rPr>
          <w:rStyle w:val="FootnoteReference"/>
        </w:rPr>
        <w:footnoteReference w:id="147"/>
      </w:r>
      <w:r>
        <w:rPr/>
        <w:t xml:space="preserve"> Niejasny wyraz „kuchmale” z zeszytu to najpewniej </w:t>
      </w:r>
      <w:r>
        <w:rPr>
          <w:b/>
        </w:rPr>
        <w:t>krochmalnia</w:t>
      </w:r>
      <w:r>
        <w:rPr/>
        <w:t>, budynek, który później przebudowano na gorzelnię.</w:t>
      </w:r>
      <w:r>
        <w:rPr>
          <w:rStyle w:val="FootnoteReference"/>
        </w:rPr>
        <w:footnoteReference w:id="148"/>
      </w:r>
    </w:p>
    <w:p>
      <w:pPr>
        <w:keepNext/>
        <w:jc w:val="center"/>
      </w:pPr>
      <w:r>
        <w:drawing>
          <wp:inline xmlns:a="http://schemas.openxmlformats.org/drawingml/2006/main" xmlns:pic="http://schemas.openxmlformats.org/drawingml/2006/picture">
            <wp:extent cx="4860000" cy="6480000"/>
            <wp:docPr id="3" name="Picture 3"/>
            <wp:cNvGraphicFramePr>
              <a:graphicFrameLocks noChangeAspect="1"/>
            </wp:cNvGraphicFramePr>
            <a:graphic>
              <a:graphicData uri="http://schemas.openxmlformats.org/drawingml/2006/picture">
                <pic:pic>
                  <pic:nvPicPr>
                    <pic:cNvPr id="0" name="IMG_5992-1.jpg"/>
                    <pic:cNvPicPr/>
                  </pic:nvPicPr>
                  <pic:blipFill>
                    <a:blip r:embed="rId12"/>
                    <a:stretch>
                      <a:fillRect/>
                    </a:stretch>
                  </pic:blipFill>
                  <pic:spPr>
                    <a:xfrm>
                      <a:off x="0" y="0"/>
                      <a:ext cx="4860000" cy="6480000"/>
                    </a:xfrm>
                    <a:prstGeom prst="rect"/>
                  </pic:spPr>
                </pic:pic>
              </a:graphicData>
            </a:graphic>
          </wp:inline>
        </w:drawing>
      </w:r>
    </w:p>
    <w:p>
      <w:pPr>
        <w:pStyle w:val="Caption"/>
        <w:jc w:val="center"/>
      </w:pPr>
      <w:r>
        <w:rPr/>
        <w:t>Krempa — rzut parteru dworu z funkcjami pomieszczeń (Kajzer, S08, s. 76)</w:t>
      </w:r>
    </w:p>
    <w:p>
      <w:pPr>
        <w:pStyle w:val="Heading2"/>
      </w:pPr>
      <w:r>
        <w:rPr/>
        <w:t>Kaplica w Uniejowie</w:t>
      </w:r>
    </w:p>
    <w:p>
      <w:r>
        <w:rPr/>
        <w:t xml:space="preserve">W </w:t>
      </w:r>
      <w:r>
        <w:rPr>
          <w:b/>
        </w:rPr>
        <w:t>1880 roku</w:t>
      </w:r>
      <w:r>
        <w:rPr/>
        <w:t xml:space="preserve"> Józefat i Teofila zbudowali na cmentarzu w </w:t>
      </w:r>
      <w:r>
        <w:rPr>
          <w:b/>
        </w:rPr>
        <w:t>Uniejowie</w:t>
      </w:r>
      <w:r>
        <w:rPr/>
        <w:t xml:space="preserve"> murowaną </w:t>
      </w:r>
      <w:r>
        <w:rPr>
          <w:b/>
        </w:rPr>
        <w:t>kaplicę grobową Boxa Radoszewskich</w:t>
      </w:r>
      <w:r>
        <w:rPr/>
        <w:t>. Przetrwała do dziś. Kajzer pisze, że dwie takie kaplice, w Uniejowie i w Wartkowicach, świadczą o „niezłej pozycji finansowej” rodu.</w:t>
      </w:r>
      <w:r>
        <w:rPr>
          <w:rStyle w:val="FootnoteReference"/>
        </w:rPr>
        <w:footnoteReference w:id="149"/>
      </w:r>
      <w:r>
        <w:rPr/>
        <w:t xml:space="preserve"> Do krypty przeniesiono zmarłych wcześniej członków rodziny. Spoczywają w niej według kartki S05 i zeszytu S07:</w:t>
      </w:r>
      <w:r>
        <w:rPr>
          <w:rStyle w:val="FootnoteReference"/>
        </w:rPr>
        <w:footnoteReference w:id="150"/>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3099"/>
            <w:shd w:val="clear" w:fill="EFE8DC"/>
          </w:tcPr>
          <w:p>
            <w:pPr>
              <w:spacing w:after="0" w:line="240" w:lineRule="auto"/>
            </w:pPr>
            <w:r>
              <w:rPr>
                <w:b/>
                <w:sz w:val="18"/>
              </w:rPr>
              <w:t>Pochowany</w:t>
            </w:r>
          </w:p>
        </w:tc>
        <w:tc>
          <w:tcPr>
            <w:tcW w:type="dxa" w:w="3099"/>
            <w:shd w:val="clear" w:fill="EFE8DC"/>
          </w:tcPr>
          <w:p>
            <w:pPr>
              <w:spacing w:after="0" w:line="240" w:lineRule="auto"/>
            </w:pPr>
            <w:r>
              <w:rPr>
                <w:b/>
                <w:sz w:val="18"/>
              </w:rPr>
              <w:t>Daty</w:t>
            </w:r>
          </w:p>
        </w:tc>
        <w:tc>
          <w:tcPr>
            <w:tcW w:type="dxa" w:w="3099"/>
            <w:shd w:val="clear" w:fill="EFE8DC"/>
          </w:tcPr>
          <w:p>
            <w:pPr>
              <w:spacing w:after="0" w:line="240" w:lineRule="auto"/>
            </w:pPr>
            <w:r>
              <w:rPr>
                <w:b/>
                <w:sz w:val="18"/>
              </w:rPr>
              <w:t>Uwagi</w:t>
            </w:r>
          </w:p>
        </w:tc>
      </w:tr>
      <w:tr>
        <w:tc>
          <w:tcPr>
            <w:tcW w:type="dxa" w:w="3099"/>
          </w:tcPr>
          <w:p>
            <w:pPr>
              <w:spacing w:after="0" w:line="240" w:lineRule="auto"/>
            </w:pPr>
            <w:r>
              <w:rPr>
                <w:sz w:val="18"/>
              </w:rPr>
              <w:t>Roch Radoszewski, kasztelanic</w:t>
            </w:r>
          </w:p>
        </w:tc>
        <w:tc>
          <w:tcPr>
            <w:tcW w:type="dxa" w:w="3099"/>
          </w:tcPr>
          <w:p>
            <w:pPr>
              <w:spacing w:after="0" w:line="240" w:lineRule="auto"/>
            </w:pPr>
            <w:r>
              <w:rPr>
                <w:sz w:val="18"/>
              </w:rPr>
              <w:t>zm. 1820</w:t>
            </w:r>
          </w:p>
        </w:tc>
        <w:tc>
          <w:tcPr>
            <w:tcW w:type="dxa" w:w="3099"/>
          </w:tcPr>
          <w:p>
            <w:pPr>
              <w:spacing w:after="0" w:line="240" w:lineRule="auto"/>
            </w:pPr>
            <w:r>
              <w:rPr>
                <w:sz w:val="18"/>
              </w:rPr>
              <w:t>przeniesiony</w:t>
            </w:r>
          </w:p>
        </w:tc>
      </w:tr>
      <w:tr>
        <w:tc>
          <w:tcPr>
            <w:tcW w:type="dxa" w:w="3099"/>
          </w:tcPr>
          <w:p>
            <w:pPr>
              <w:spacing w:after="0" w:line="240" w:lineRule="auto"/>
            </w:pPr>
            <w:r>
              <w:rPr>
                <w:sz w:val="18"/>
              </w:rPr>
              <w:t>Kunegunda z Wierzchleyskich Radoszewska</w:t>
            </w:r>
          </w:p>
        </w:tc>
        <w:tc>
          <w:tcPr>
            <w:tcW w:type="dxa" w:w="3099"/>
          </w:tcPr>
          <w:p>
            <w:pPr>
              <w:spacing w:after="0" w:line="240" w:lineRule="auto"/>
            </w:pPr>
            <w:r>
              <w:rPr>
                <w:sz w:val="18"/>
              </w:rPr>
              <w:t>zm. 1828</w:t>
            </w:r>
          </w:p>
        </w:tc>
        <w:tc>
          <w:tcPr>
            <w:tcW w:type="dxa" w:w="3099"/>
          </w:tcPr>
          <w:p>
            <w:pPr>
              <w:spacing w:after="0" w:line="240" w:lineRule="auto"/>
            </w:pPr>
            <w:r>
              <w:rPr>
                <w:sz w:val="18"/>
              </w:rPr>
              <w:t>przeniesiona (wymieniona w S03 i S05, brak jej w S07)</w:t>
            </w:r>
          </w:p>
        </w:tc>
      </w:tr>
      <w:tr>
        <w:tc>
          <w:tcPr>
            <w:tcW w:type="dxa" w:w="3099"/>
          </w:tcPr>
          <w:p>
            <w:pPr>
              <w:spacing w:after="0" w:line="240" w:lineRule="auto"/>
            </w:pPr>
            <w:r>
              <w:rPr>
                <w:sz w:val="18"/>
              </w:rPr>
              <w:t>Józef Radoszewski z Dominikowic</w:t>
            </w:r>
          </w:p>
        </w:tc>
        <w:tc>
          <w:tcPr>
            <w:tcW w:type="dxa" w:w="3099"/>
          </w:tcPr>
          <w:p>
            <w:pPr>
              <w:spacing w:after="0" w:line="240" w:lineRule="auto"/>
            </w:pPr>
            <w:r>
              <w:rPr>
                <w:sz w:val="18"/>
              </w:rPr>
              <w:t>zm. 1850</w:t>
            </w:r>
          </w:p>
        </w:tc>
        <w:tc>
          <w:tcPr>
            <w:tcW w:type="dxa" w:w="3099"/>
          </w:tcPr>
          <w:p>
            <w:pPr>
              <w:spacing w:after="0" w:line="240" w:lineRule="auto"/>
            </w:pPr>
            <w:r>
              <w:rPr>
                <w:sz w:val="18"/>
              </w:rPr>
              <w:t>brat Franciszka</w:t>
            </w:r>
          </w:p>
        </w:tc>
      </w:tr>
      <w:tr>
        <w:tc>
          <w:tcPr>
            <w:tcW w:type="dxa" w:w="3099"/>
          </w:tcPr>
          <w:p>
            <w:pPr>
              <w:spacing w:after="0" w:line="240" w:lineRule="auto"/>
            </w:pPr>
            <w:r>
              <w:rPr>
                <w:sz w:val="18"/>
              </w:rPr>
              <w:t>Henryk Radoszewski</w:t>
            </w:r>
          </w:p>
        </w:tc>
        <w:tc>
          <w:tcPr>
            <w:tcW w:type="dxa" w:w="3099"/>
          </w:tcPr>
          <w:p>
            <w:pPr>
              <w:spacing w:after="0" w:line="240" w:lineRule="auto"/>
            </w:pPr>
            <w:r>
              <w:rPr>
                <w:sz w:val="18"/>
              </w:rPr>
              <w:t>zm. 1861, w wieku 33 lat</w:t>
            </w:r>
          </w:p>
        </w:tc>
        <w:tc>
          <w:tcPr>
            <w:tcW w:type="dxa" w:w="3099"/>
          </w:tcPr>
          <w:p>
            <w:pPr>
              <w:spacing w:after="0" w:line="240" w:lineRule="auto"/>
            </w:pPr>
            <w:r>
              <w:rPr>
                <w:sz w:val="18"/>
              </w:rPr>
              <w:t>syn Franciszka i Józefy</w:t>
            </w:r>
          </w:p>
        </w:tc>
      </w:tr>
      <w:tr>
        <w:tc>
          <w:tcPr>
            <w:tcW w:type="dxa" w:w="3099"/>
          </w:tcPr>
          <w:p>
            <w:pPr>
              <w:spacing w:after="0" w:line="240" w:lineRule="auto"/>
            </w:pPr>
            <w:r>
              <w:rPr>
                <w:sz w:val="18"/>
              </w:rPr>
              <w:t>Michał Szeliski h. Szeliga z Marzenina</w:t>
            </w:r>
          </w:p>
        </w:tc>
        <w:tc>
          <w:tcPr>
            <w:tcW w:type="dxa" w:w="3099"/>
          </w:tcPr>
          <w:p>
            <w:pPr>
              <w:spacing w:after="0" w:line="240" w:lineRule="auto"/>
            </w:pPr>
            <w:r>
              <w:rPr>
                <w:sz w:val="18"/>
              </w:rPr>
              <w:t>1800–1866</w:t>
            </w:r>
          </w:p>
        </w:tc>
        <w:tc>
          <w:tcPr>
            <w:tcW w:type="dxa" w:w="3099"/>
          </w:tcPr>
          <w:p>
            <w:pPr>
              <w:spacing w:after="0" w:line="240" w:lineRule="auto"/>
            </w:pPr>
            <w:r>
              <w:rPr>
                <w:sz w:val="18"/>
              </w:rPr>
              <w:t>ojciec Teofili</w:t>
            </w:r>
          </w:p>
        </w:tc>
      </w:tr>
      <w:tr>
        <w:tc>
          <w:tcPr>
            <w:tcW w:type="dxa" w:w="3099"/>
          </w:tcPr>
          <w:p>
            <w:pPr>
              <w:spacing w:after="0" w:line="240" w:lineRule="auto"/>
            </w:pPr>
            <w:r>
              <w:rPr>
                <w:sz w:val="18"/>
              </w:rPr>
              <w:t>Henryś Radoszewski</w:t>
            </w:r>
          </w:p>
        </w:tc>
        <w:tc>
          <w:tcPr>
            <w:tcW w:type="dxa" w:w="3099"/>
          </w:tcPr>
          <w:p>
            <w:pPr>
              <w:spacing w:after="0" w:line="240" w:lineRule="auto"/>
            </w:pPr>
            <w:r>
              <w:rPr>
                <w:sz w:val="18"/>
              </w:rPr>
              <w:t>zm. 1870, w wieku 8 lat</w:t>
            </w:r>
          </w:p>
        </w:tc>
        <w:tc>
          <w:tcPr>
            <w:tcW w:type="dxa" w:w="3099"/>
          </w:tcPr>
          <w:p>
            <w:pPr>
              <w:spacing w:after="0" w:line="240" w:lineRule="auto"/>
            </w:pPr>
            <w:r>
              <w:rPr>
                <w:sz w:val="18"/>
              </w:rPr>
              <w:t>syn Józefata i Teofili</w:t>
            </w:r>
          </w:p>
        </w:tc>
      </w:tr>
      <w:tr>
        <w:tc>
          <w:tcPr>
            <w:tcW w:type="dxa" w:w="3099"/>
          </w:tcPr>
          <w:p>
            <w:pPr>
              <w:spacing w:after="0" w:line="240" w:lineRule="auto"/>
            </w:pPr>
            <w:r>
              <w:rPr>
                <w:sz w:val="18"/>
              </w:rPr>
              <w:t>Antoni Szumowski</w:t>
            </w:r>
          </w:p>
        </w:tc>
        <w:tc>
          <w:tcPr>
            <w:tcW w:type="dxa" w:w="3099"/>
          </w:tcPr>
          <w:p>
            <w:pPr>
              <w:spacing w:after="0" w:line="240" w:lineRule="auto"/>
            </w:pPr>
            <w:r>
              <w:rPr>
                <w:sz w:val="18"/>
              </w:rPr>
              <w:t>zm. 1855 (S07) / 1884 (S03) / 1885 (S05)</w:t>
            </w:r>
          </w:p>
        </w:tc>
        <w:tc>
          <w:tcPr>
            <w:tcW w:type="dxa" w:w="3099"/>
          </w:tcPr>
          <w:p>
            <w:pPr>
              <w:spacing w:after="0" w:line="240" w:lineRule="auto"/>
            </w:pPr>
            <w:r>
              <w:rPr>
                <w:sz w:val="18"/>
              </w:rPr>
              <w:t>związek z rodziną nieznany</w:t>
            </w:r>
          </w:p>
        </w:tc>
      </w:tr>
      <w:tr>
        <w:tc>
          <w:tcPr>
            <w:tcW w:type="dxa" w:w="3099"/>
          </w:tcPr>
          <w:p>
            <w:pPr>
              <w:spacing w:after="0" w:line="240" w:lineRule="auto"/>
            </w:pPr>
            <w:r>
              <w:rPr>
                <w:sz w:val="18"/>
              </w:rPr>
              <w:t>Józefat Boxa Radoszewski</w:t>
            </w:r>
          </w:p>
        </w:tc>
        <w:tc>
          <w:tcPr>
            <w:tcW w:type="dxa" w:w="3099"/>
          </w:tcPr>
          <w:p>
            <w:pPr>
              <w:spacing w:after="0" w:line="240" w:lineRule="auto"/>
            </w:pPr>
            <w:r>
              <w:rPr>
                <w:sz w:val="18"/>
              </w:rPr>
              <w:t>1830–1892 (S05: 1893)</w:t>
            </w:r>
          </w:p>
        </w:tc>
        <w:tc>
          <w:tcPr>
            <w:tcW w:type="dxa" w:w="3099"/>
          </w:tcPr>
          <w:p>
            <w:pPr>
              <w:spacing w:after="0" w:line="240" w:lineRule="auto"/>
            </w:pPr>
            <w:r>
              <w:rPr>
                <w:sz w:val="18"/>
              </w:rPr>
              <w:t>fundator</w:t>
            </w:r>
          </w:p>
        </w:tc>
      </w:tr>
      <w:tr>
        <w:tc>
          <w:tcPr>
            <w:tcW w:type="dxa" w:w="3099"/>
          </w:tcPr>
          <w:p>
            <w:pPr>
              <w:spacing w:after="0" w:line="240" w:lineRule="auto"/>
            </w:pPr>
            <w:r>
              <w:rPr>
                <w:sz w:val="18"/>
              </w:rPr>
              <w:t>Teofila z Szeliskich Radoszewska</w:t>
            </w:r>
          </w:p>
        </w:tc>
        <w:tc>
          <w:tcPr>
            <w:tcW w:type="dxa" w:w="3099"/>
          </w:tcPr>
          <w:p>
            <w:pPr>
              <w:spacing w:after="0" w:line="240" w:lineRule="auto"/>
            </w:pPr>
            <w:r>
              <w:rPr>
                <w:sz w:val="18"/>
              </w:rPr>
              <w:t>1842–1909</w:t>
            </w:r>
          </w:p>
        </w:tc>
        <w:tc>
          <w:tcPr>
            <w:tcW w:type="dxa" w:w="3099"/>
          </w:tcPr>
          <w:p>
            <w:pPr>
              <w:spacing w:after="0" w:line="240" w:lineRule="auto"/>
            </w:pPr>
            <w:r>
              <w:rPr>
                <w:sz w:val="18"/>
              </w:rPr>
              <w:t>fundatorka</w:t>
            </w:r>
          </w:p>
        </w:tc>
      </w:tr>
    </w:tbl>
    <w:p>
      <w:pPr>
        <w:spacing w:after="40"/>
      </w:pPr>
    </w:p>
    <w:p>
      <w:pPr>
        <w:keepNext/>
        <w:jc w:val="center"/>
      </w:pPr>
      <w:r>
        <w:drawing>
          <wp:inline xmlns:a="http://schemas.openxmlformats.org/drawingml/2006/main" xmlns:pic="http://schemas.openxmlformats.org/drawingml/2006/picture">
            <wp:extent cx="4860000" cy="6480000"/>
            <wp:docPr id="4" name="Picture 4"/>
            <wp:cNvGraphicFramePr>
              <a:graphicFrameLocks noChangeAspect="1"/>
            </wp:cNvGraphicFramePr>
            <a:graphic>
              <a:graphicData uri="http://schemas.openxmlformats.org/drawingml/2006/picture">
                <pic:pic>
                  <pic:nvPicPr>
                    <pic:cNvPr id="0" name="IMG_5908-1.jpg"/>
                    <pic:cNvPicPr/>
                  </pic:nvPicPr>
                  <pic:blipFill>
                    <a:blip r:embed="rId13"/>
                    <a:stretch>
                      <a:fillRect/>
                    </a:stretch>
                  </pic:blipFill>
                  <pic:spPr>
                    <a:xfrm>
                      <a:off x="0" y="0"/>
                      <a:ext cx="4860000" cy="6480000"/>
                    </a:xfrm>
                    <a:prstGeom prst="rect"/>
                  </pic:spPr>
                </pic:pic>
              </a:graphicData>
            </a:graphic>
          </wp:inline>
        </w:drawing>
      </w:r>
    </w:p>
    <w:p>
      <w:pPr>
        <w:pStyle w:val="Caption"/>
        <w:jc w:val="center"/>
      </w:pPr>
      <w:r>
        <w:rPr/>
        <w:t>Kartka „Kaplica Boxa Radoszewskich herbu Oksza na cmentarzu w Uniejowie” z listą pochowanych w krypcie (S05, s. 1)</w:t>
      </w:r>
    </w:p>
    <w:p>
      <w:pPr>
        <w:pStyle w:val="Heading2"/>
      </w:pPr>
      <w:r>
        <w:rPr/>
        <w:t>Dzieci Józefata i Teofili</w:t>
      </w:r>
    </w:p>
    <w:p>
      <w:r>
        <w:rPr/>
        <w:t>Józefat i Teofila mieli czworo dzieci:</w:t>
      </w:r>
      <w:r>
        <w:rPr>
          <w:rStyle w:val="FootnoteReference"/>
        </w:rPr>
        <w:footnoteReference w:id="151"/>
      </w:r>
    </w:p>
    <w:p>
      <w:pPr>
        <w:pStyle w:val="ListBullet"/>
        <w:spacing w:after="60"/>
      </w:pPr>
      <w:r>
        <w:rPr>
          <w:b/>
        </w:rPr>
        <w:t>Józefa</w:t>
      </w:r>
      <w:r>
        <w:rPr/>
        <w:t xml:space="preserve"> (1864–1933) wyszła za adwokata (Romana) </w:t>
      </w:r>
      <w:r>
        <w:rPr>
          <w:b/>
        </w:rPr>
        <w:t>Wierzchleyskiego</w:t>
      </w:r>
      <w:r>
        <w:rPr/>
        <w:t xml:space="preserve">. Po śmierci męża kierowała filią „Kuriera Warszawskiego” przy Marszałkowskiej 108. Ufundowała </w:t>
      </w:r>
      <w:r>
        <w:rPr>
          <w:b/>
        </w:rPr>
        <w:t>figurę Matki Boskiej</w:t>
      </w:r>
      <w:r>
        <w:rPr/>
        <w:t xml:space="preserve"> w dziupli starego dębu w parku w Krempie. Po wkroczeniu Niemców figurę przeniesiono do kościoła w Niemysłowie, gdzie jest do dziś. Józefa spoczywa na Powązkach.</w:t>
      </w:r>
      <w:r>
        <w:rPr>
          <w:rStyle w:val="FootnoteReference"/>
        </w:rPr>
        <w:footnoteReference w:id="152"/>
      </w:r>
    </w:p>
    <w:p>
      <w:pPr>
        <w:pStyle w:val="ListBullet"/>
        <w:spacing w:after="60"/>
      </w:pPr>
      <w:r>
        <w:rPr>
          <w:b/>
        </w:rPr>
        <w:t>Michał Edmund</w:t>
      </w:r>
      <w:r>
        <w:rPr/>
        <w:t xml:space="preserve"> (1865–1942), dziedzic Krempy (zob. rozdz. 10).</w:t>
      </w:r>
    </w:p>
    <w:p>
      <w:pPr>
        <w:pStyle w:val="ListBullet"/>
        <w:spacing w:after="60"/>
      </w:pPr>
      <w:r>
        <w:rPr>
          <w:b/>
        </w:rPr>
        <w:t>Maria</w:t>
      </w:r>
      <w:r>
        <w:rPr/>
        <w:t xml:space="preserve"> (1867–1965) wyszła za </w:t>
      </w:r>
      <w:r>
        <w:rPr>
          <w:b/>
        </w:rPr>
        <w:t>Rafała Mierzyńskiego</w:t>
      </w:r>
      <w:r>
        <w:rPr/>
        <w:t xml:space="preserve"> z Węgrzy herbu Jastrzębiec, inżyniera budowlanego. Według zeszytu Mierzyński „wynalazł stropy, które między innymi zastosowano w hotelu Bristol”. Maria mieszkała do końca wojny przy Nowogrodzkiej 10. Jej córka, również </w:t>
      </w:r>
      <w:r>
        <w:rPr>
          <w:b/>
        </w:rPr>
        <w:t>Maria</w:t>
      </w:r>
      <w:r>
        <w:rPr/>
        <w:t xml:space="preserve"> (1897–1975), wyszła po raz pierwszy za Mierzyńskiego. Zeszyt podaje imiona Władysław Konstanty i dopisek, że został zamordowany w Rosji przez NKWD[?]. Księga rodzinna podaje imię Tadeusz. Po raz drugi Maria wyszła za Żeromskiego.</w:t>
      </w:r>
      <w:r>
        <w:rPr>
          <w:rStyle w:val="FootnoteReference"/>
        </w:rPr>
        <w:footnoteReference w:id="153"/>
      </w:r>
    </w:p>
    <w:p>
      <w:pPr>
        <w:pStyle w:val="ListBullet"/>
        <w:spacing w:after="60"/>
      </w:pPr>
      <w:r>
        <w:rPr>
          <w:b/>
        </w:rPr>
        <w:t>Henryk (Henryś)</w:t>
      </w:r>
      <w:r>
        <w:rPr/>
        <w:t xml:space="preserve"> zmarł jako dziecko. Według większości źródeł w 1870 roku w wieku 8 lat, według drzewa w zeszycie w 1867 roku.</w:t>
      </w:r>
      <w:r>
        <w:rPr>
          <w:rStyle w:val="FootnoteReference"/>
        </w:rPr>
        <w:footnoteReference w:id="154"/>
      </w:r>
    </w:p>
    <w:p>
      <w:r>
        <w:rPr/>
        <w:t xml:space="preserve">Józefat zmarł w </w:t>
      </w:r>
      <w:r>
        <w:rPr>
          <w:b/>
        </w:rPr>
        <w:t>1892 roku</w:t>
      </w:r>
      <w:r>
        <w:rPr/>
        <w:t xml:space="preserve"> (kartka S05 podaje 1893), a Teofila w 1909 roku. Oboje spoczywają w krypcie w Uniejowie. Ich portrety przechowywał Andrzej Radoszewski.</w:t>
      </w:r>
      <w:r>
        <w:rPr>
          <w:rStyle w:val="FootnoteReference"/>
        </w:rPr>
        <w:footnoteReference w:id="155"/>
      </w:r>
    </w:p>
    <w:p>
      <w:pPr>
        <w:pStyle w:val="Heading1"/>
        <w:pageBreakBefore/>
      </w:pPr>
      <w:r>
        <w:rPr/>
        <w:t>9. Radoszewscy z Neru</w:t>
      </w:r>
    </w:p>
    <w:p>
      <w:r>
        <w:rPr/>
        <w:t xml:space="preserve">Z rodem z Krempy związana była przez małżeństwa i wspólne groby linia </w:t>
      </w:r>
      <w:r>
        <w:rPr>
          <w:b/>
        </w:rPr>
        <w:t>Radoszewskich z Neru</w:t>
      </w:r>
      <w:r>
        <w:rPr/>
        <w:t>, majątku koło Gostkowa i Wartkowic w Łęczyckiem.</w:t>
      </w:r>
      <w:r>
        <w:rPr>
          <w:rStyle w:val="FootnoteReference"/>
        </w:rPr>
        <w:footnoteReference w:id="156"/>
      </w:r>
      <w:r>
        <w:rPr/>
        <w:t xml:space="preserve"> Źródła nie podają, jak dokładnie łączy się ona z główną linią.</w:t>
      </w:r>
    </w:p>
    <w:p>
      <w:r>
        <w:rPr>
          <w:b/>
        </w:rPr>
        <w:t>Albin Radoszewski</w:t>
      </w:r>
      <w:r>
        <w:rPr/>
        <w:t xml:space="preserve"> (1811–1875; na grobie rok śmierci 1871), syn </w:t>
      </w:r>
      <w:r>
        <w:rPr>
          <w:b/>
        </w:rPr>
        <w:t>Walentego z Neru</w:t>
      </w:r>
      <w:r>
        <w:rPr/>
        <w:t xml:space="preserve">, był rzeczywistym radcą stanu. Ożenił się z </w:t>
      </w:r>
      <w:r>
        <w:rPr>
          <w:b/>
        </w:rPr>
        <w:t>Ludwiką</w:t>
      </w:r>
      <w:r>
        <w:rPr/>
        <w:t>, siostrą Józefata z Krempy.</w:t>
      </w:r>
      <w:r>
        <w:rPr>
          <w:rStyle w:val="FootnoteReference"/>
        </w:rPr>
        <w:footnoteReference w:id="157"/>
      </w:r>
      <w:r>
        <w:rPr/>
        <w:t xml:space="preserve"> Ich dzieci to:</w:t>
      </w:r>
      <w:r>
        <w:rPr>
          <w:rStyle w:val="FootnoteReference"/>
        </w:rPr>
        <w:footnoteReference w:id="158"/>
      </w:r>
    </w:p>
    <w:p>
      <w:pPr>
        <w:pStyle w:val="ListBullet"/>
        <w:spacing w:after="60"/>
      </w:pPr>
      <w:r>
        <w:rPr>
          <w:b/>
        </w:rPr>
        <w:t>Franciszek z Neru</w:t>
      </w:r>
      <w:r>
        <w:rPr/>
        <w:t xml:space="preserve">. Pierwszą żoną była </w:t>
      </w:r>
      <w:r>
        <w:rPr>
          <w:b/>
        </w:rPr>
        <w:t>Ludmiła</w:t>
      </w:r>
      <w:r>
        <w:rPr/>
        <w:t xml:space="preserve"> (w innym miejscu </w:t>
      </w:r>
      <w:r>
        <w:rPr>
          <w:b/>
        </w:rPr>
        <w:t>Ludomira</w:t>
      </w:r>
      <w:r>
        <w:rPr/>
        <w:t xml:space="preserve">) </w:t>
      </w:r>
      <w:r>
        <w:rPr>
          <w:b/>
        </w:rPr>
        <w:t>Skrzyńska</w:t>
      </w:r>
      <w:r>
        <w:rPr/>
        <w:t xml:space="preserve"> herbu Zaremba z Nowej Wsi i Gostkowa, owdowiała Siemiątkowska. Drugą żoną była Jadwiga z Wesslów, primo voto Brzezińska (zm. 17 XI 1929). Franciszek był prezesem Komitetu Opiekuńczego Warszawskiej Szkoły Sztuk Pięknych i jednym z fundatorów Filharmonii Warszawskiej, w której „miał stały fotel”. Mieszkał w Nerze, a w Warszawie miał „duże pięknie umeblowane mieszkanie” na placu Trzech Krzyży. Po śmierci pierwszej żony zbudował razem z jej rodzicami </w:t>
      </w:r>
      <w:r>
        <w:rPr>
          <w:b/>
        </w:rPr>
        <w:t>kaplicę na cmentarzu w Wartkowicach</w:t>
      </w:r>
      <w:r>
        <w:rPr/>
        <w:t>.</w:t>
      </w:r>
    </w:p>
    <w:p>
      <w:pPr>
        <w:pStyle w:val="ListBullet"/>
        <w:spacing w:after="60"/>
      </w:pPr>
      <w:r>
        <w:rPr>
          <w:b/>
        </w:rPr>
        <w:t>Walenty</w:t>
      </w:r>
      <w:r>
        <w:rPr/>
        <w:t>, radca Towarzystwa Kredytowego w Piotrkowie, kawaler, który „zapisał nam bibliotekę w Krempie”.</w:t>
      </w:r>
    </w:p>
    <w:p>
      <w:pPr>
        <w:pStyle w:val="ListBullet"/>
        <w:spacing w:after="60"/>
      </w:pPr>
      <w:r>
        <w:rPr>
          <w:b/>
        </w:rPr>
        <w:t>Kazimierz</w:t>
      </w:r>
      <w:r>
        <w:rPr/>
        <w:t>, żonaty z Łaszczyńską (w zeszycie poprawione z Łukaszewskiej), który mieszkał w Rzymie.</w:t>
      </w:r>
    </w:p>
    <w:p>
      <w:pPr>
        <w:pStyle w:val="ListBullet"/>
        <w:spacing w:after="60"/>
      </w:pPr>
      <w:r>
        <w:rPr>
          <w:b/>
        </w:rPr>
        <w:t>Aleksander</w:t>
      </w:r>
      <w:r>
        <w:rPr/>
        <w:t xml:space="preserve"> (1859–1891), pochowany na Powązkach.</w:t>
      </w:r>
    </w:p>
    <w:p>
      <w:r>
        <w:rPr/>
        <w:t>Dzieci Franciszka z Neru i Ludmiły:</w:t>
      </w:r>
      <w:r>
        <w:rPr>
          <w:rStyle w:val="FootnoteReference"/>
        </w:rPr>
        <w:footnoteReference w:id="159"/>
      </w:r>
    </w:p>
    <w:p>
      <w:pPr>
        <w:pStyle w:val="ListBullet"/>
        <w:spacing w:after="60"/>
      </w:pPr>
      <w:r>
        <w:rPr>
          <w:b/>
        </w:rPr>
        <w:t>Ludwik</w:t>
      </w:r>
      <w:r>
        <w:rPr/>
        <w:t>.</w:t>
      </w:r>
    </w:p>
    <w:p>
      <w:pPr>
        <w:pStyle w:val="ListBullet"/>
        <w:spacing w:after="60"/>
      </w:pPr>
      <w:r>
        <w:rPr>
          <w:b/>
        </w:rPr>
        <w:t>Paweł</w:t>
      </w:r>
      <w:r>
        <w:rPr/>
        <w:t xml:space="preserve"> z Zatuskowa koło Łowicza, żonaty z </w:t>
      </w:r>
      <w:r>
        <w:rPr>
          <w:b/>
        </w:rPr>
        <w:t>Zofią z Grotowskich</w:t>
      </w:r>
      <w:r>
        <w:rPr/>
        <w:t>. Zmarł w 1940 roku po wyjściu z niemieckiego obozu w Radogoszczy koło Łodzi. Pochowano go na Powązkach w grobie rodzinnym, bez tablicy. Zofia spoczywa na Powązkach w grobie generała Makowieckiego[?].</w:t>
      </w:r>
    </w:p>
    <w:p>
      <w:pPr>
        <w:pStyle w:val="ListBullet"/>
        <w:spacing w:after="60"/>
      </w:pPr>
      <w:r>
        <w:rPr>
          <w:b/>
        </w:rPr>
        <w:t>Ludmiła</w:t>
      </w:r>
      <w:r>
        <w:rPr/>
        <w:t xml:space="preserve">, żona profesora laryngologa </w:t>
      </w:r>
      <w:r>
        <w:rPr>
          <w:b/>
        </w:rPr>
        <w:t>Erbrycha</w:t>
      </w:r>
      <w:r>
        <w:rPr/>
        <w:t xml:space="preserve">. Jej córka </w:t>
      </w:r>
      <w:r>
        <w:rPr>
          <w:b/>
        </w:rPr>
        <w:t>Ludka</w:t>
      </w:r>
      <w:r>
        <w:rPr/>
        <w:t xml:space="preserve"> zginęła, walcząc w powstaniu warszawskim. Druga córka, Anna Aulich, miała córkę, która wyszła za Jerzego Prozora.</w:t>
      </w:r>
    </w:p>
    <w:p>
      <w:pPr>
        <w:pStyle w:val="ListBullet"/>
        <w:spacing w:after="60"/>
      </w:pPr>
      <w:r>
        <w:rPr>
          <w:b/>
        </w:rPr>
        <w:t>Jan z Neru</w:t>
      </w:r>
      <w:r>
        <w:rPr/>
        <w:t xml:space="preserve">, kawaler, radca Towarzystwa Kredytowego Ziemskiego, zmarły </w:t>
      </w:r>
      <w:r>
        <w:rPr>
          <w:b/>
        </w:rPr>
        <w:t>26 lutego 1973 roku</w:t>
      </w:r>
      <w:r>
        <w:rPr/>
        <w:t xml:space="preserve"> i pochowany w Wartkowicach. To „wujek Janek” z kalendarza rodzinnego.</w:t>
      </w:r>
    </w:p>
    <w:p>
      <w:r>
        <w:rPr/>
        <w:t xml:space="preserve">W </w:t>
      </w:r>
      <w:r>
        <w:rPr>
          <w:b/>
        </w:rPr>
        <w:t>kaplicy w Wartkowicach</w:t>
      </w:r>
      <w:r>
        <w:rPr/>
        <w:t xml:space="preserve"> spoczywają: Ludmiła (Ludomira) ze Skrzyńskich Radoszewska, Franciszek z Neru, Jan z Neru, rodzice Ludmiły, Aleksander i Waleria Skrzyńscy, oraz Aleksander Skrzyński młodszy, który zmarł po powrocie z niemieckiego obozu.</w:t>
      </w:r>
      <w:r>
        <w:rPr>
          <w:rStyle w:val="FootnoteReference"/>
        </w:rPr>
        <w:footnoteReference w:id="160"/>
      </w:r>
      <w:r>
        <w:rPr/>
        <w:t xml:space="preserve"> Według dopisku w zeszycie Ner był majątkiem Jana Radoszewskiego, a Zatusków Pawła Radoszewskiego.</w:t>
      </w:r>
      <w:r>
        <w:rPr>
          <w:rStyle w:val="FootnoteReference"/>
        </w:rPr>
        <w:footnoteReference w:id="161"/>
      </w:r>
    </w:p>
    <w:p>
      <w:pPr>
        <w:pStyle w:val="Heading1"/>
        <w:pageBreakBefore/>
      </w:pPr>
      <w:r>
        <w:rPr/>
        <w:t>10. Michał Edmund (1865–1942) i Ewelina z Drohojowskich (1880–1955)</w:t>
      </w:r>
    </w:p>
    <w:p>
      <w:pPr>
        <w:pStyle w:val="Heading2"/>
      </w:pPr>
      <w:r>
        <w:rPr/>
        <w:t>Michał</w:t>
      </w:r>
    </w:p>
    <w:p>
      <w:r>
        <w:rPr>
          <w:b/>
        </w:rPr>
        <w:t>Michał Edmund</w:t>
      </w:r>
      <w:r>
        <w:rPr/>
        <w:t xml:space="preserve">, syn Józefata i Teofili, urodził się w Krempie. Źródła podają trzy różne daty jego urodzin. Zeszyt rodzinny w jednym miejscu podaje </w:t>
      </w:r>
      <w:r>
        <w:rPr>
          <w:b/>
        </w:rPr>
        <w:t>16 listopada 1865</w:t>
      </w:r>
      <w:r>
        <w:rPr/>
        <w:t xml:space="preserve">, a w drzewie Drohojowskich rok 1866. Księga rodzinna podaje </w:t>
      </w:r>
      <w:r>
        <w:rPr>
          <w:b/>
        </w:rPr>
        <w:t>16 lipca 1865</w:t>
      </w:r>
      <w:r>
        <w:rPr/>
        <w:t>.</w:t>
      </w:r>
      <w:r>
        <w:rPr>
          <w:rStyle w:val="FootnoteReference"/>
        </w:rPr>
        <w:footnoteReference w:id="162"/>
      </w:r>
      <w:r>
        <w:rPr/>
        <w:t xml:space="preserve"> Zmarł </w:t>
      </w:r>
      <w:r>
        <w:rPr>
          <w:b/>
        </w:rPr>
        <w:t>5 czerwca 1942 roku</w:t>
      </w:r>
      <w:r>
        <w:rPr/>
        <w:t xml:space="preserve"> w Warszawie, w mieszkaniu siostry Marii Mierzyńskiej przy Nowogrodzkiej 10.</w:t>
      </w:r>
      <w:r>
        <w:rPr>
          <w:rStyle w:val="FootnoteReference"/>
        </w:rPr>
        <w:footnoteReference w:id="163"/>
      </w:r>
      <w:r>
        <w:rPr/>
        <w:t xml:space="preserve"> Ukończył gimnazjum rządowe w Warszawie i prawo na Uniwersytecie Warszawskim. W czasie studiów mieszkał „na stancji u prof. Skłodowskiego, kolegi Józefata, a ojca Marii”, czyli ojca przyszłej Marii Skłodowskiej-Curie. Był </w:t>
      </w:r>
      <w:r>
        <w:rPr>
          <w:b/>
        </w:rPr>
        <w:t>wybieralnym sędzią pokoju</w:t>
      </w:r>
      <w:r>
        <w:rPr/>
        <w:t xml:space="preserve"> dla kilku gmin.</w:t>
      </w:r>
      <w:r>
        <w:rPr>
          <w:rStyle w:val="FootnoteReference"/>
        </w:rPr>
        <w:footnoteReference w:id="164"/>
      </w:r>
      <w:r>
        <w:rPr/>
        <w:t xml:space="preserve"> Księga rodzinna określa go jako „prawnik, właściciel ziemski”.</w:t>
      </w:r>
      <w:r>
        <w:rPr>
          <w:rStyle w:val="FootnoteReference"/>
        </w:rPr>
        <w:footnoteReference w:id="165"/>
      </w:r>
    </w:p>
    <w:p>
      <w:r>
        <w:rPr/>
        <w:t>Michał rozbudował dwór w Krempie. Według Kajzera stało się to w końcu lat 90. XIX wieku, z inicjatywy Michała i Eweliny. Nadbudowano wtedy piętro z trójkątną nadstawką, która „poprawiła użyteczność górnych pokojów, lecz popsuła bryłę domu”, i dostawiono skrzydło gospodarcze.</w:t>
      </w:r>
      <w:r>
        <w:rPr>
          <w:rStyle w:val="FootnoteReference"/>
        </w:rPr>
        <w:footnoteReference w:id="166"/>
      </w:r>
      <w:r>
        <w:rPr/>
        <w:t xml:space="preserve"> Zeszyt rodzinny pisze, że „przebudował kuchmalnię[?] na gorzelnię” i powiększył bibliotekę do 5000 tomów.</w:t>
      </w:r>
      <w:r>
        <w:rPr>
          <w:rStyle w:val="FootnoteReference"/>
        </w:rPr>
        <w:footnoteReference w:id="167"/>
      </w:r>
      <w:r>
        <w:rPr/>
        <w:t xml:space="preserve"> W </w:t>
      </w:r>
      <w:r>
        <w:rPr>
          <w:b/>
        </w:rPr>
        <w:t>1914 roku</w:t>
      </w:r>
      <w:r>
        <w:rPr/>
        <w:t xml:space="preserve"> sprzedał Dominikowice i kupił kamienicę w Warszawie przy </w:t>
      </w:r>
      <w:r>
        <w:rPr>
          <w:b/>
        </w:rPr>
        <w:t>Marszałkowskiej 59, róg Koszykowej</w:t>
      </w:r>
      <w:r>
        <w:rPr/>
        <w:t>.</w:t>
      </w:r>
      <w:r>
        <w:rPr>
          <w:rStyle w:val="FootnoteReference"/>
        </w:rPr>
        <w:footnoteReference w:id="168"/>
      </w:r>
      <w:r>
        <w:rPr/>
        <w:t xml:space="preserve"> Zeszyt ocenia go jednak krytycznie: „Gospodarzem nie był i Krempa oddana w dzierżawę b. podupadła”. Michał rozparcelował 200 morgów ziemi, a część gruntów leżała odłogiem. W latach 1914–1918 Niemcy zabrali z gorzelni wszystkie części z metalu.</w:t>
      </w:r>
      <w:r>
        <w:rPr>
          <w:rStyle w:val="FootnoteReference"/>
        </w:rPr>
        <w:footnoteReference w:id="169"/>
      </w:r>
    </w:p>
    <w:p>
      <w:pPr>
        <w:pStyle w:val="Heading2"/>
      </w:pPr>
      <w:r>
        <w:rPr/>
        <w:t>Ewelina</w:t>
      </w:r>
    </w:p>
    <w:p>
      <w:r>
        <w:rPr>
          <w:b/>
        </w:rPr>
        <w:t>Ewa (Ewelina) z hr. Drohojowskich herbu Korczak</w:t>
      </w:r>
      <w:r>
        <w:rPr/>
        <w:t xml:space="preserve"> urodziła się </w:t>
      </w:r>
      <w:r>
        <w:rPr>
          <w:b/>
        </w:rPr>
        <w:t>21 listopada 1880 roku</w:t>
      </w:r>
      <w:r>
        <w:rPr/>
        <w:t xml:space="preserve"> w Ciszecinie Wielkim koło Jarosławia. Ochrzczono ją w Zarzeczu. Była córką Bolesława Drohojowskiego i Bronisławy z Terleckich (o jej rodzinie zob. rozdz. 13.1).</w:t>
      </w:r>
      <w:r>
        <w:rPr>
          <w:rStyle w:val="FootnoteReference"/>
        </w:rPr>
        <w:footnoteReference w:id="170"/>
      </w:r>
      <w:r>
        <w:rPr/>
        <w:t xml:space="preserve"> Ślub z Michałem odbył się w </w:t>
      </w:r>
      <w:r>
        <w:rPr>
          <w:b/>
        </w:rPr>
        <w:t>Krakowie, w kościele św. Barbary</w:t>
      </w:r>
      <w:r>
        <w:rPr/>
        <w:t>.</w:t>
      </w:r>
      <w:r>
        <w:rPr>
          <w:rStyle w:val="FootnoteReference"/>
        </w:rPr>
        <w:footnoteReference w:id="171"/>
      </w:r>
      <w:r>
        <w:rPr/>
        <w:t xml:space="preserve"> W Krempie Ewelina utrzymywała </w:t>
      </w:r>
      <w:r>
        <w:rPr>
          <w:b/>
        </w:rPr>
        <w:t>ochronkę, „w której też odbywało się tajne nauczanie, gdyż rząd carski nie pozwalał na polskie szkoły”</w:t>
      </w:r>
      <w:r>
        <w:rPr/>
        <w:t>. Po odzyskaniu niepodległości wybierano ją do Dozoru Szkolnego. Należała do Koła Ziemianek i Koła Gospodyń Wiejskich, zasiadała w zarządzie Kasy Oszczędności i Mleczarni Spółdzielczej.</w:t>
      </w:r>
      <w:r>
        <w:rPr>
          <w:rStyle w:val="FootnoteReference"/>
        </w:rPr>
        <w:footnoteReference w:id="172"/>
      </w:r>
      <w:r>
        <w:rPr/>
        <w:t xml:space="preserve"> W kościele w Niemysłowie zachował się ornat uszyty z jej sukni ślubnej. Ławka kolatorska w tym kościele nosi herby Oksza i Korczak, zapewne na pamiątkę małżeństwa Michała i Eweliny.</w:t>
      </w:r>
      <w:r>
        <w:rPr>
          <w:rStyle w:val="FootnoteReference"/>
        </w:rPr>
        <w:footnoteReference w:id="173"/>
      </w:r>
    </w:p>
    <w:p>
      <w:r>
        <w:rPr/>
        <w:t xml:space="preserve">Po ślubie syna Michał i Ewelina zamieszkali w Warszawie przy </w:t>
      </w:r>
      <w:r>
        <w:rPr>
          <w:b/>
        </w:rPr>
        <w:t>Koszykowej 11 m. 3</w:t>
      </w:r>
      <w:r>
        <w:rPr/>
        <w:t xml:space="preserve">, koło Alei Ujazdowskich. Dom ten spłonął we wrześniu 1939 roku. Potem mieszkali przy Nowogrodzkiej 10 u Marii Mierzyńskiej, gdzie Michał zmarł w 1942 roku. Po powstaniu Ewelina mieszkała w Piotrkowie, a od 1945 roku do śmierci w Milanówku u syna i synowej. Zmarła </w:t>
      </w:r>
      <w:r>
        <w:rPr>
          <w:b/>
        </w:rPr>
        <w:t>5 czerwca 1955 roku</w:t>
      </w:r>
      <w:r>
        <w:rPr/>
        <w:t xml:space="preserve"> („babcia Ela” z kalendarza rodzinnego).</w:t>
      </w:r>
      <w:r>
        <w:rPr>
          <w:rStyle w:val="FootnoteReference"/>
        </w:rPr>
        <w:footnoteReference w:id="174"/>
      </w:r>
      <w:r>
        <w:rPr/>
        <w:t xml:space="preserve"> Oboje spoczywają na </w:t>
      </w:r>
      <w:r>
        <w:rPr>
          <w:b/>
        </w:rPr>
        <w:t>Powązkach</w:t>
      </w:r>
      <w:r>
        <w:rPr/>
        <w:t xml:space="preserve"> (kwatera 157, rząd 6).</w:t>
      </w:r>
      <w:r>
        <w:rPr>
          <w:rStyle w:val="FootnoteReference"/>
        </w:rPr>
        <w:footnoteReference w:id="175"/>
      </w:r>
    </w:p>
    <w:p>
      <w:r>
        <w:rPr/>
        <w:t xml:space="preserve">Michał i Ewelina mieli jedynego syna, </w:t>
      </w:r>
      <w:r>
        <w:rPr>
          <w:b/>
        </w:rPr>
        <w:t>Jerzego Józefata</w:t>
      </w:r>
      <w:r>
        <w:rPr/>
        <w:t>.</w:t>
      </w:r>
      <w:r>
        <w:rPr>
          <w:rStyle w:val="FootnoteReference"/>
        </w:rPr>
        <w:footnoteReference w:id="176"/>
      </w:r>
    </w:p>
    <w:p>
      <w:pPr>
        <w:pStyle w:val="Heading1"/>
        <w:pageBreakBefore/>
      </w:pPr>
      <w:r>
        <w:rPr/>
        <w:t>11. Jerzy Józefat (1902–1967) i Anna z Prządzyńskich (1914–1999)</w:t>
      </w:r>
    </w:p>
    <w:p>
      <w:pPr>
        <w:pStyle w:val="Heading2"/>
      </w:pPr>
      <w:r>
        <w:rPr/>
        <w:t>Młodość i wojna 1920 roku</w:t>
      </w:r>
    </w:p>
    <w:p>
      <w:r>
        <w:rPr>
          <w:b/>
        </w:rPr>
        <w:t>Jerzy Józefat</w:t>
      </w:r>
      <w:r>
        <w:rPr/>
        <w:t xml:space="preserve"> urodził się </w:t>
      </w:r>
      <w:r>
        <w:rPr>
          <w:b/>
        </w:rPr>
        <w:t>24 września 1902 roku w Krempie</w:t>
      </w:r>
      <w:r>
        <w:rPr/>
        <w:t>. Ochrzcił go w Niemysłowie przyjaciel rodziny i wieloletni proboszcz, ks. Zawiński[?]. Ks. Stanisław Zawiński był proboszczem w Niemysłowie przez 50 lat i był „wielkim społecznikiem i przyjacielem Radoszewskich”.</w:t>
      </w:r>
      <w:r>
        <w:rPr>
          <w:rStyle w:val="FootnoteReference"/>
        </w:rPr>
        <w:footnoteReference w:id="177"/>
      </w:r>
      <w:r>
        <w:rPr/>
        <w:t xml:space="preserve"> Jerzy uczył się w domu „z nauczycielem, Niemką i Francuską”. W 1916 roku poszedł do IV klasy gimnazjum Konopczyńskiego (potem im. Mickiewicza) w Warszawie. Był świadkiem wejścia Legionów do miasta i wstąpił w szkole do </w:t>
      </w:r>
      <w:r>
        <w:rPr>
          <w:b/>
        </w:rPr>
        <w:t>POW</w:t>
      </w:r>
      <w:r>
        <w:rPr/>
        <w:t>. Zeszyt opisuje listopad 1918 roku: „9 list. rozdawano stare karabiny i 10 list. rozbrajano na ulicach Niemców. Powrót Piłsudskiego był entuzjastycznie witany (wyprzęgnięto konie z powozu i ludzie ciągnęli powóz)”.</w:t>
      </w:r>
      <w:r>
        <w:rPr>
          <w:rStyle w:val="FootnoteReference"/>
        </w:rPr>
        <w:footnoteReference w:id="178"/>
      </w:r>
    </w:p>
    <w:p>
      <w:r>
        <w:rPr/>
        <w:t xml:space="preserve">W </w:t>
      </w:r>
      <w:r>
        <w:rPr>
          <w:b/>
        </w:rPr>
        <w:t>1920 roku</w:t>
      </w:r>
      <w:r>
        <w:rPr/>
        <w:t xml:space="preserve">, „gdy bolszewicy podchodzili pod W-wę”, osiemnastoletni Jerzy wstąpił jako ochotnik do </w:t>
      </w:r>
      <w:r>
        <w:rPr>
          <w:b/>
        </w:rPr>
        <w:t>artylerii przeciwlotniczej (zenitowej)</w:t>
      </w:r>
      <w:r>
        <w:rPr/>
        <w:t xml:space="preserve">. Przyjęto go, bo znał francuski, a instruktorami byli Francuzi i sprzęt był francuski. Bronił mostów warszawskich, a </w:t>
      </w:r>
      <w:r>
        <w:rPr>
          <w:b/>
        </w:rPr>
        <w:t>15 sierpnia</w:t>
      </w:r>
      <w:r>
        <w:rPr/>
        <w:t xml:space="preserve"> („cud nad Wisłą”) stał na warcie. Potem walczył pod Białymstokiem i Sokółką, a w czasie inspekcji Piłsudski pochwalił go, „że jest najmłodszy w baterii, a dobrze zna regulamin”. Dalej przeszedł szlak Grodno–Lida w baterii użytej jako zwykła artyleria polowa, „ostrzeliwani bezpośrednio z karabinów ręcznych i maszynowych […]. Było wielu zabitych i rannych”. Za udział w wojnie otrzymał medal </w:t>
      </w:r>
      <w:r>
        <w:rPr>
          <w:b/>
        </w:rPr>
        <w:t>„Polska swemu Obrońcy”</w:t>
      </w:r>
      <w:r>
        <w:rPr/>
        <w:t>. Zeszyt zaznacza, że „zostało odznaczonych 6 osób”.</w:t>
      </w:r>
      <w:r>
        <w:rPr>
          <w:rStyle w:val="FootnoteReference"/>
        </w:rPr>
        <w:footnoteReference w:id="179"/>
      </w:r>
    </w:p>
    <w:p>
      <w:pPr>
        <w:pStyle w:val="Heading2"/>
      </w:pPr>
      <w:r>
        <w:rPr/>
        <w:t>Gospodarz Krempy</w:t>
      </w:r>
    </w:p>
    <w:p>
      <w:r>
        <w:rPr/>
        <w:t xml:space="preserve">Po wojsku Jerzy zdał w 1922 roku maturę w szkole dla byłych wojskowych i egzamin konkursowy na </w:t>
      </w:r>
      <w:r>
        <w:rPr>
          <w:b/>
        </w:rPr>
        <w:t>SGGW</w:t>
      </w:r>
      <w:r>
        <w:rPr/>
        <w:t>. Już w VI klasie musiał administrować kamienicą przy Marszałkowskiej 59, „aby wygospodarować pieniądze na swoje utrzymanie”, bo wydzierżawiona Krempa nie przynosiła dochodu. Od lipca 1925 do października 1926 roku służył w 30 pułku artylerii polowej we Włodzimierzu.</w:t>
      </w:r>
      <w:r>
        <w:rPr>
          <w:rStyle w:val="FootnoteReference"/>
        </w:rPr>
        <w:footnoteReference w:id="180"/>
      </w:r>
      <w:r>
        <w:rPr/>
        <w:t xml:space="preserve"> Po powrocie przejął Krempę „w b. złym stanie”. Kajzer podaje, że formalnie przejął majątek w 1934 roku, ale w tym samym miejscu podaje lata życia Michała 1865–1942.</w:t>
      </w:r>
      <w:r>
        <w:rPr>
          <w:rStyle w:val="FootnoteReference"/>
        </w:rPr>
        <w:footnoteReference w:id="181"/>
      </w:r>
      <w:r>
        <w:rPr/>
        <w:t xml:space="preserve"> W ciągu czterech lat Jerzy uruchomił gorzelnię, a w 1937 roku zbudował </w:t>
      </w:r>
      <w:r>
        <w:rPr>
          <w:b/>
        </w:rPr>
        <w:t>młyn motorowy</w:t>
      </w:r>
      <w:r>
        <w:rPr/>
        <w:t>, który dawał majątkowi prąd. „Cała ziemia była dobrze uprawiona, las prawidłowo zagospodarowany. W lesie i polu było dużo zwierzyny: dziki, lisy, borsuki, sarny, zające, kuropatwy, bażanty”.</w:t>
      </w:r>
      <w:r>
        <w:rPr>
          <w:rStyle w:val="FootnoteReference"/>
        </w:rPr>
        <w:footnoteReference w:id="182"/>
      </w:r>
    </w:p>
    <w:p>
      <w:r>
        <w:rPr/>
        <w:t xml:space="preserve">Majątek Krempa ze Śmiechowem liczył </w:t>
      </w:r>
      <w:r>
        <w:rPr>
          <w:b/>
        </w:rPr>
        <w:t>616 ha</w:t>
      </w:r>
      <w:r>
        <w:rPr/>
        <w:t xml:space="preserve"> lasów i ziemi ornej, czyli 1101 morgów według hipoteki w Kaliszu. Kajzer podaje około 700 ha, w tym ponad 200 ha lasu. W majątku były gorzelnia i młyn, a Jerzy należał do Związku Ziemian powiatu tureckiego.</w:t>
      </w:r>
      <w:r>
        <w:rPr>
          <w:rStyle w:val="FootnoteReference"/>
        </w:rPr>
        <w:footnoteReference w:id="183"/>
      </w:r>
      <w:r>
        <w:rPr/>
        <w:t xml:space="preserve"> Dwór miał wtedy salon w stylu Ludwika Filipa, salonik w stylu Ludwika XV, sypialnię w późnym empirze i stołowy z meblami „gdańskimi”. W stołowym wisiała kolekcja </w:t>
      </w:r>
      <w:r>
        <w:rPr>
          <w:b/>
        </w:rPr>
        <w:t>ponad 20 portretów rodzinnych z XVII–XX wieku</w:t>
      </w:r>
      <w:r>
        <w:rPr/>
        <w:t>. Biblioteka na piętrze liczyła ponad 5000 tomów, polskich i francuskich, gromadzonych od XVII wieku. Książki oprawiano w skórę, a biblioteka miała ex libris z herbem Oksza i katalog. Było też rodzinne archiwum z dokumentami, korespondencją i drzewem genealogicznym.</w:t>
      </w:r>
      <w:r>
        <w:rPr>
          <w:rStyle w:val="FootnoteReference"/>
        </w:rPr>
        <w:footnoteReference w:id="184"/>
      </w:r>
      <w:r>
        <w:rPr/>
        <w:t xml:space="preserve"> Park ciągnął się na kilometr. Prowadziły w nim „piękne aleje”, był podjazd obsadzony cisami[?] i jaśminami[?] i trzy stawy.</w:t>
      </w:r>
      <w:r>
        <w:rPr>
          <w:rStyle w:val="FootnoteReference"/>
        </w:rPr>
        <w:footnoteReference w:id="185"/>
      </w:r>
    </w:p>
    <w:p>
      <w:pPr>
        <w:pStyle w:val="Heading2"/>
      </w:pPr>
      <w:r>
        <w:rPr/>
        <w:t>Anna z Prządzyńskich</w:t>
      </w:r>
    </w:p>
    <w:p>
      <w:r>
        <w:rPr>
          <w:b/>
        </w:rPr>
        <w:t>28 kwietnia 1937 roku</w:t>
      </w:r>
      <w:r>
        <w:rPr/>
        <w:t xml:space="preserve"> w Charłupi Małej Jerzy poślubił </w:t>
      </w:r>
      <w:r>
        <w:rPr>
          <w:b/>
        </w:rPr>
        <w:t>Annę Marię z Prządzyńskich herbu Grzymała</w:t>
      </w:r>
      <w:r>
        <w:rPr/>
        <w:t>, córkę Stanisława i Stanisławy z Grabińskich z Kościerzyna. Do ślubu jechano „karetą zaprzężoną w 4 konie”.</w:t>
      </w:r>
      <w:r>
        <w:rPr>
          <w:rStyle w:val="FootnoteReference"/>
        </w:rPr>
        <w:footnoteReference w:id="186"/>
      </w:r>
      <w:r>
        <w:rPr/>
        <w:t xml:space="preserve"> Anna urodziła się </w:t>
      </w:r>
      <w:r>
        <w:rPr>
          <w:b/>
        </w:rPr>
        <w:t>22 marca 1914 roku</w:t>
      </w:r>
      <w:r>
        <w:rPr/>
        <w:t xml:space="preserve"> w Warszawie. Do VII klasy uczyła się w domu, potem przez dwa lata chodziła na pensję hr. Cecylii Plater-Zyberk przy Pięknej 24. Mieszkała wtedy u prababci Marii Grabińskiej przy Alejach Jerozolimskich, w domu, „który był drugim moim domem”. Maturę zdała w 1933 roku.</w:t>
      </w:r>
      <w:r>
        <w:rPr>
          <w:rStyle w:val="FootnoteReference"/>
        </w:rPr>
        <w:footnoteReference w:id="187"/>
      </w:r>
      <w:r>
        <w:rPr/>
        <w:t xml:space="preserve"> </w:t>
      </w:r>
      <w:r>
        <w:rPr>
          <w:b/>
        </w:rPr>
        <w:t>1 marca 1938 roku</w:t>
      </w:r>
      <w:r>
        <w:rPr/>
        <w:t xml:space="preserve"> w szpitalu sióstr elżbietanek na Mokotowie urodziły się bliźnięta </w:t>
      </w:r>
      <w:r>
        <w:rPr>
          <w:b/>
        </w:rPr>
        <w:t>Andrzej Michał</w:t>
      </w:r>
      <w:r>
        <w:rPr/>
        <w:t xml:space="preserve"> i </w:t>
      </w:r>
      <w:r>
        <w:rPr>
          <w:b/>
        </w:rPr>
        <w:t>Elżbieta Stanisława</w:t>
      </w:r>
      <w:r>
        <w:rPr/>
        <w:t>.</w:t>
      </w:r>
      <w:r>
        <w:rPr>
          <w:rStyle w:val="FootnoteReference"/>
        </w:rPr>
        <w:footnoteReference w:id="188"/>
      </w:r>
    </w:p>
    <w:p>
      <w:pPr>
        <w:pStyle w:val="Heading2"/>
      </w:pPr>
      <w:r>
        <w:rPr/>
        <w:t>Lata 1939–1945</w:t>
      </w:r>
    </w:p>
    <w:p>
      <w:r>
        <w:rPr/>
        <w:t>Zapiski rodzinne opisują wojnę w kilku zdaniach:</w:t>
      </w:r>
      <w:r>
        <w:rPr>
          <w:rStyle w:val="FootnoteReference"/>
        </w:rPr>
        <w:footnoteReference w:id="189"/>
      </w:r>
    </w:p>
    <w:p>
      <w:pPr>
        <w:pStyle w:val="ListBullet"/>
        <w:spacing w:after="60"/>
      </w:pPr>
      <w:r>
        <w:rPr>
          <w:b/>
        </w:rPr>
        <w:t>2 września 1939</w:t>
      </w:r>
      <w:r>
        <w:rPr/>
        <w:t xml:space="preserve"> rodzina wyjechała z Krempy, bo dwór znalazł się na pierwszej linii frontu. Pojechała do Zatuskowa[?] i do Warszawy. W czasie oblężenia miasta spłonął i został zbombardowany dom przy Koszykowej 11, gdzie mieszkali dziadkowie.</w:t>
      </w:r>
    </w:p>
    <w:p>
      <w:pPr>
        <w:pStyle w:val="ListBullet"/>
        <w:spacing w:after="60"/>
      </w:pPr>
      <w:r>
        <w:rPr/>
        <w:t xml:space="preserve">Rodzina wróciła do Krempy, zajętej już przez Niemców. </w:t>
      </w:r>
      <w:r>
        <w:rPr>
          <w:b/>
        </w:rPr>
        <w:t>8 grudnia 1939 roku</w:t>
      </w:r>
      <w:r>
        <w:rPr/>
        <w:t xml:space="preserve"> Niemcy wysiedlili ją razem z półtorarocznymi dziećmi i ich wychowawczynią, panią Rózią. Przez Turek i Koło wywieziono ich do </w:t>
      </w:r>
      <w:r>
        <w:rPr>
          <w:b/>
        </w:rPr>
        <w:t>obozu dla przesiedleńców w Bochni</w:t>
      </w:r>
      <w:r>
        <w:rPr/>
        <w:t>.</w:t>
      </w:r>
    </w:p>
    <w:p>
      <w:pPr>
        <w:pStyle w:val="ListBullet"/>
        <w:spacing w:after="60"/>
      </w:pPr>
      <w:r>
        <w:rPr/>
        <w:t xml:space="preserve">Okupację rodzina spędziła w Warszawie oraz w Czarnej koło Radzymina, u sióstr urszulanek, gdzie przełożoną była „babcia Netka” Prządzyńska, siostra dziadka Stanisława. Jerzy był współzałożycielem i współwłaścicielem warszawskiego </w:t>
      </w:r>
      <w:r>
        <w:rPr>
          <w:b/>
        </w:rPr>
        <w:t>domu handlowego „Estyma”</w:t>
      </w:r>
      <w:r>
        <w:rPr/>
        <w:t>.</w:t>
      </w:r>
      <w:r>
        <w:rPr>
          <w:rStyle w:val="FootnoteReference"/>
        </w:rPr>
        <w:footnoteReference w:id="190"/>
      </w:r>
    </w:p>
    <w:p>
      <w:pPr>
        <w:pStyle w:val="ListBullet"/>
        <w:spacing w:after="60"/>
      </w:pPr>
      <w:r>
        <w:rPr>
          <w:b/>
        </w:rPr>
        <w:t>30 kwietnia 1942 roku</w:t>
      </w:r>
      <w:r>
        <w:rPr/>
        <w:t xml:space="preserve"> urodziło się trzecie dziecko, </w:t>
      </w:r>
      <w:r>
        <w:rPr>
          <w:b/>
        </w:rPr>
        <w:t>Teresa Ewa</w:t>
      </w:r>
      <w:r>
        <w:rPr/>
        <w:t>.</w:t>
      </w:r>
      <w:r>
        <w:rPr>
          <w:rStyle w:val="FootnoteReference"/>
        </w:rPr>
        <w:footnoteReference w:id="191"/>
      </w:r>
    </w:p>
    <w:p>
      <w:pPr>
        <w:pStyle w:val="ListBullet"/>
        <w:spacing w:after="60"/>
      </w:pPr>
      <w:r>
        <w:rPr/>
        <w:t>Początek powstania warszawskiego rodzina przeżyła „w swoim domu na ul. Błękitnej” w Wawrze, potem w Czarnej. W 1944 roku znaleźli się „na I linii frontu w Czarnej, między Radzyminem a Wołominem, w piwnicach”, a potem przedostali się do Dębów koło Łaskarzewa.</w:t>
      </w:r>
    </w:p>
    <w:p>
      <w:pPr>
        <w:pStyle w:val="ListBullet"/>
        <w:spacing w:after="60"/>
      </w:pPr>
      <w:r>
        <w:rPr/>
        <w:t xml:space="preserve">Po wojnie rodzina zamieszkała w Piotrkowie, potem w </w:t>
      </w:r>
      <w:r>
        <w:rPr>
          <w:b/>
        </w:rPr>
        <w:t>Milanówku</w:t>
      </w:r>
      <w:r>
        <w:rPr/>
        <w:t xml:space="preserve">, a od </w:t>
      </w:r>
      <w:r>
        <w:rPr>
          <w:b/>
        </w:rPr>
        <w:t>12 października 1962 roku</w:t>
      </w:r>
      <w:r>
        <w:rPr/>
        <w:t xml:space="preserve"> w </w:t>
      </w:r>
      <w:r>
        <w:rPr>
          <w:b/>
        </w:rPr>
        <w:t>Brwinowie</w:t>
      </w:r>
      <w:r>
        <w:rPr/>
        <w:t>.</w:t>
      </w:r>
      <w:r>
        <w:rPr>
          <w:rStyle w:val="FootnoteReference"/>
        </w:rPr>
        <w:footnoteReference w:id="192"/>
      </w:r>
    </w:p>
    <w:p>
      <w:r>
        <w:rPr/>
        <w:t>Krempy rodzina już nie odzyskała. Po wojnie dwór był budynkiem mieszkalnym gminy. Zamieszkały w nim „liczne rodziny zainteresowane zniszczeniem budynku i szybkim przeniesieniem się do bloków”, a park dewastowało przedsiębiorstwo „Las”.</w:t>
      </w:r>
      <w:r>
        <w:rPr>
          <w:rStyle w:val="FootnoteReference"/>
        </w:rPr>
        <w:footnoteReference w:id="193"/>
      </w:r>
      <w:r>
        <w:rPr/>
        <w:t xml:space="preserve"> Dwór rozebrano w latach 80. Kartka o kaplicy podaje rok 1980, kartka o Jerzym 1981, a Kajzer pisze o roku około 1985. Park „wycięto i podzielono na działki”.</w:t>
      </w:r>
      <w:r>
        <w:rPr>
          <w:rStyle w:val="FootnoteReference"/>
        </w:rPr>
        <w:footnoteReference w:id="194"/>
      </w:r>
      <w:r>
        <w:rPr/>
        <w:t xml:space="preserve"> Z wyposażenia ocalało osiem portretów rodzinnych. Po konserwacji są w domach dzieci Anny i Jerzego. Kajzer odnotowuje jeszcze, że z dworu „możliwa do zidentyfikowania jest tylko jedna cegła, wyciągnięta z niszczejącego budynku i przeniesiona na pamiątkę do nowego domu właścicieli Krępy położonego pod Warszawą”.</w:t>
      </w:r>
      <w:r>
        <w:rPr>
          <w:rStyle w:val="FootnoteReference"/>
        </w:rPr>
        <w:footnoteReference w:id="195"/>
      </w:r>
      <w:r>
        <w:rPr/>
        <w:t xml:space="preserve"> Figura Matki Boskiej z dębu w parku stoi w kościele w Niemysłowie.</w:t>
      </w:r>
      <w:r>
        <w:rPr>
          <w:rStyle w:val="FootnoteReference"/>
        </w:rPr>
        <w:footnoteReference w:id="196"/>
      </w:r>
    </w:p>
    <w:p>
      <w:pPr>
        <w:pStyle w:val="Heading2"/>
      </w:pPr>
      <w:r>
        <w:rPr/>
        <w:t>Ostatnie lata</w:t>
      </w:r>
    </w:p>
    <w:p>
      <w:r>
        <w:rPr/>
        <w:t>Po wojnie Jerzy pracował w Spółdzielni Poligraficznej im. Hanki Sawickiej[?] w Grodzisku Mazowieckim.</w:t>
      </w:r>
      <w:r>
        <w:rPr>
          <w:rStyle w:val="FootnoteReference"/>
        </w:rPr>
        <w:footnoteReference w:id="197"/>
      </w:r>
      <w:r>
        <w:rPr/>
        <w:t xml:space="preserve"> Za pieniądze ze sprzedaży domu w Wawrze kupił 21 października 1947 roku plac przy Narbutta 60 w Warszawie.</w:t>
      </w:r>
      <w:r>
        <w:rPr>
          <w:rStyle w:val="FootnoteReference"/>
        </w:rPr>
        <w:footnoteReference w:id="198"/>
      </w:r>
      <w:r>
        <w:rPr/>
        <w:t xml:space="preserve"> Testamentem zapisał mu Ciszecin Wielki jego wuj, Jan Drohojowski, ale majątek przepadł po wojnie.</w:t>
      </w:r>
      <w:r>
        <w:rPr>
          <w:rStyle w:val="FootnoteReference"/>
        </w:rPr>
        <w:footnoteReference w:id="199"/>
      </w:r>
      <w:r>
        <w:rPr/>
        <w:t xml:space="preserve"> Jerzy zmarł </w:t>
      </w:r>
      <w:r>
        <w:rPr>
          <w:b/>
        </w:rPr>
        <w:t>13 października 1967 roku</w:t>
      </w:r>
      <w:r>
        <w:rPr/>
        <w:t xml:space="preserve"> w szpitalu Przemienienia Pańskiego na Pradze. Pogrzeb odbył się 17 października, a spoczął na Powązkach w grobie rodzinnym.</w:t>
      </w:r>
      <w:r>
        <w:rPr>
          <w:rStyle w:val="FootnoteReference"/>
        </w:rPr>
        <w:footnoteReference w:id="200"/>
      </w:r>
    </w:p>
    <w:p>
      <w:r>
        <w:rPr/>
        <w:t xml:space="preserve">Anna przeżyła męża o ponad trzydzieści lat. W 1991 roku przygotowała dla Leszka Kajzera dwa opracowania, </w:t>
      </w:r>
      <w:r>
        <w:rPr>
          <w:i/>
        </w:rPr>
        <w:t>Dwór w Krempie</w:t>
      </w:r>
      <w:r>
        <w:rPr/>
        <w:t xml:space="preserve"> i </w:t>
      </w:r>
      <w:r>
        <w:rPr>
          <w:i/>
        </w:rPr>
        <w:t>Opis dworu w Kościerzynie</w:t>
      </w:r>
      <w:r>
        <w:rPr/>
        <w:t>, napisała do niego list i udostępniła mu stare fotografie. Kajzer zaznacza, że „przekazy te są bowiem jedynymi źródłami do rekonstrukcji domostwa w okresie międzywojennym”.</w:t>
      </w:r>
      <w:r>
        <w:rPr>
          <w:rStyle w:val="FootnoteReference"/>
        </w:rPr>
        <w:footnoteReference w:id="201"/>
      </w:r>
      <w:r>
        <w:rPr/>
        <w:t xml:space="preserve"> Opracowania te nie zachowały się w zbiorze rodzinnym, który był podstawą tego tekstu. Warto ich poszukać. Najpewniej to Anna jest też autorką zeszytu wspomnień S07. Narratorka pisze o pensji Plater, o „Prababci” Grabińskiej, u której mieszkała, o „moim rodzeństwie” Andrzeju i Marii Prządzyńskich i o domu „u nas w Milanówku”.</w:t>
      </w:r>
      <w:r>
        <w:rPr>
          <w:rStyle w:val="FootnoteReference"/>
        </w:rPr>
        <w:footnoteReference w:id="202"/>
      </w:r>
      <w:r>
        <w:rPr/>
        <w:t xml:space="preserve"> Anna zmarła </w:t>
      </w:r>
      <w:r>
        <w:rPr>
          <w:b/>
        </w:rPr>
        <w:t>10 lipca 1999 roku</w:t>
      </w:r>
      <w:r>
        <w:rPr/>
        <w:t xml:space="preserve"> i spoczęła obok męża na Powązkach.</w:t>
      </w:r>
      <w:r>
        <w:rPr>
          <w:rStyle w:val="FootnoteReference"/>
        </w:rPr>
        <w:footnoteReference w:id="203"/>
      </w:r>
    </w:p>
    <w:p>
      <w:pPr>
        <w:pStyle w:val="Heading1"/>
        <w:pageBreakBefore/>
      </w:pPr>
      <w:r>
        <w:rPr/>
        <w:t>12. Najmłodsze pokolenia</w:t>
      </w:r>
    </w:p>
    <w:p>
      <w:r>
        <w:rPr/>
        <w:t>Dzieci Jerzego i Anny oraz ich rodziny według zapisków:</w:t>
      </w:r>
      <w:r>
        <w:rPr>
          <w:rStyle w:val="FootnoteReference"/>
        </w:rPr>
        <w:footnoteReference w:id="204"/>
      </w:r>
    </w:p>
    <w:p>
      <w:pPr>
        <w:pStyle w:val="ListBullet"/>
        <w:spacing w:after="60"/>
      </w:pPr>
      <w:r>
        <w:rPr>
          <w:b/>
        </w:rPr>
        <w:t>Andrzej Michał Radoszewski</w:t>
      </w:r>
      <w:r>
        <w:rPr/>
        <w:t xml:space="preserve"> (ur. 1 III 1938), magister inżynier budownictwa lądowego. Maturę zdał w 1954 roku. Od 18 kwietnia 1978 do 14 czerwca 1986 roku pracował w Libii. 8 kwietnia 1967 roku poślubił </w:t>
      </w:r>
      <w:r>
        <w:rPr>
          <w:b/>
        </w:rPr>
        <w:t>Halinę Lewandowską</w:t>
      </w:r>
      <w:r>
        <w:rPr/>
        <w:t xml:space="preserve"> (ur. 14 IV 1940). Ich córki to </w:t>
      </w:r>
      <w:r>
        <w:rPr>
          <w:b/>
        </w:rPr>
        <w:t>Agnieszka</w:t>
      </w:r>
      <w:r>
        <w:rPr/>
        <w:t xml:space="preserve"> (ur. 1 II 1968 w Milanówku) i </w:t>
      </w:r>
      <w:r>
        <w:rPr>
          <w:b/>
        </w:rPr>
        <w:t>Anna</w:t>
      </w:r>
      <w:r>
        <w:rPr/>
        <w:t xml:space="preserve"> (ur. 24 IX 1971). Anna wyszła za Radosława Gawrysza i ma dzieci: Martę[?] (ur. 8 VI 1999) i Kubę (ur. 2007). Najpewniej to Andrzej przywiózł z Londynu książkę, na której wzór założono księgę rodzinną. U niego przechowywano też portrety przodków.</w:t>
      </w:r>
    </w:p>
    <w:p>
      <w:pPr>
        <w:pStyle w:val="ListBullet"/>
        <w:spacing w:after="60"/>
      </w:pPr>
      <w:r>
        <w:rPr>
          <w:b/>
        </w:rPr>
        <w:t>Elżbieta Stanisława („Halszka”) Radoszewska-Mosek</w:t>
      </w:r>
      <w:r>
        <w:rPr/>
        <w:t xml:space="preserve"> (ur. 1 III 1938), lekarz ginekolog. 31 sierpnia 1968 roku poślubiła </w:t>
      </w:r>
      <w:r>
        <w:rPr>
          <w:b/>
        </w:rPr>
        <w:t>Krzysztofa Moska</w:t>
      </w:r>
      <w:r>
        <w:rPr/>
        <w:t xml:space="preserve"> (ur. 20 XII 1932), doktora medycyny i rentgenologa. Ich syn to </w:t>
      </w:r>
      <w:r>
        <w:rPr>
          <w:b/>
        </w:rPr>
        <w:t>Robert Krzysztof</w:t>
      </w:r>
      <w:r>
        <w:rPr/>
        <w:t xml:space="preserve"> (ur. 25 IX 1969).</w:t>
      </w:r>
    </w:p>
    <w:p>
      <w:pPr>
        <w:pStyle w:val="ListBullet"/>
        <w:spacing w:after="60"/>
      </w:pPr>
      <w:r>
        <w:rPr>
          <w:b/>
        </w:rPr>
        <w:t>Teresa Ewa Radoszewska-Zielińska</w:t>
      </w:r>
      <w:r>
        <w:rPr/>
        <w:t xml:space="preserve"> (ur. 30 IV 1942 w Warszawie, zm. 6 XII 1996). Maturę zdała w 1959 roku w Milanówku, a dyplom Akademii Medycznej otrzymała 12 maja 1966 roku. Specjalizowała się w rehabilitacji i fizykoterapii. 20 lipca 1972 roku poślubiła </w:t>
      </w:r>
      <w:r>
        <w:rPr>
          <w:b/>
        </w:rPr>
        <w:t>Jerzego Zielińskiego</w:t>
      </w:r>
      <w:r>
        <w:rPr/>
        <w:t xml:space="preserve"> (ur. 17 VII 1937). Ich córka to </w:t>
      </w:r>
      <w:r>
        <w:rPr>
          <w:b/>
        </w:rPr>
        <w:t>Anna Maria Boxa Radoszewska-Zielińska</w:t>
      </w:r>
      <w:r>
        <w:rPr/>
        <w:t xml:space="preserve"> (ur. 6 VIII 1974 w Warszawie, „wtorek, 4 rano, 2,850 kg, 52 cm”). Teresa założyła razem z mężem i córką księgę rodzinną </w:t>
      </w:r>
      <w:r>
        <w:rPr>
          <w:i/>
        </w:rPr>
        <w:t>The History of Our Family</w:t>
      </w:r>
      <w:r>
        <w:rPr/>
        <w:t>, dedykowaną „Rodzinie Boxa Radoszewskich herbu Oksza z Krempy”.</w:t>
      </w:r>
    </w:p>
    <w:p>
      <w:r>
        <w:rPr/>
        <w:t xml:space="preserve">Księga rodzinna zawiera też kalendarz urodzin, ślubów, chrztów, komunii, egzaminów i zgonów od 1871 do 1999 roku, prowadzony przez dwa pokolenia. Pełne zestawienie zawiera opracowanie zapisek rodzinnych (rozdz. 12 pliku </w:t>
      </w:r>
      <w:r>
        <w:rPr>
          <w:rFonts w:ascii="Consolas" w:hAnsi="Consolas"/>
          <w:sz w:val="19"/>
        </w:rPr>
        <w:t>teksty/zapiski-rodzinne-uporzadkowane.md</w:t>
      </w:r>
      <w:r>
        <w:rPr/>
        <w:t>).</w:t>
      </w:r>
      <w:r>
        <w:rPr>
          <w:rStyle w:val="FootnoteReference"/>
        </w:rPr>
        <w:footnoteReference w:id="205"/>
      </w:r>
    </w:p>
    <w:p>
      <w:pPr>
        <w:pStyle w:val="Heading1"/>
        <w:pageBreakBefore/>
      </w:pPr>
      <w:r>
        <w:rPr/>
        <w:t>13. Rodziny spokrewnione</w:t>
      </w:r>
    </w:p>
    <w:p>
      <w:r>
        <w:rPr/>
        <w:t>Radoszewscy z Krempy łączyli się w XIX i XX wieku małżeństwami z kilkoma rodzinami. Ich dzieje opisują te same zapiski rodzinne, zwłaszcza zeszyt Anny z Prządzyńskich. Babcia Anny ze strony ojca była Skrzyńską. Matka Anny pochodziła z Grabińskich, a jej babka z Brandlów. Matka jej męża pochodziła z Drohojowskich. Dzięki temu dzieci i wnuki Jerzego i Anny łączą w sobie kilka rodów. Na stronie internetowej rodziny można to zobaczyć w widoku „Przodkowie” dla najmłodszego pokolenia.</w:t>
      </w:r>
    </w:p>
    <w:p>
      <w:pPr>
        <w:pStyle w:val="Heading2"/>
      </w:pPr>
      <w:r>
        <w:rPr/>
        <w:t>13.1. Drohojowscy herbu Korczak (rodzina Eweliny)</w:t>
      </w:r>
    </w:p>
    <w:p>
      <w:r>
        <w:rPr/>
        <w:t xml:space="preserve">Drohojowscy w </w:t>
      </w:r>
      <w:r>
        <w:rPr>
          <w:b/>
        </w:rPr>
        <w:t>1701 roku</w:t>
      </w:r>
      <w:r>
        <w:rPr/>
        <w:t xml:space="preserve"> ufundowali kanonię Drohojowskich przy katedrze w Przemyślu, gdzie jest też ich kaplica.</w:t>
      </w:r>
      <w:r>
        <w:rPr>
          <w:rStyle w:val="FootnoteReference"/>
        </w:rPr>
        <w:footnoteReference w:id="206"/>
      </w:r>
      <w:r>
        <w:rPr/>
        <w:t xml:space="preserve"> Najstarszym przodkiem w rodzinnym drzewie jest </w:t>
      </w:r>
      <w:r>
        <w:rPr>
          <w:b/>
        </w:rPr>
        <w:t>Jan Drohojowski</w:t>
      </w:r>
      <w:r>
        <w:rPr/>
        <w:t xml:space="preserve"> (1780–1819[?]). Pierwszą jego żoną była Róża Niemirowska, drugą Brygida Rzeszotarska. Jego syn </w:t>
      </w:r>
      <w:r>
        <w:rPr>
          <w:b/>
        </w:rPr>
        <w:t>Władysław</w:t>
      </w:r>
      <w:r>
        <w:rPr/>
        <w:t xml:space="preserve"> z Piotrkowicz koło Kowla na Wołyniu ożenił się z </w:t>
      </w:r>
      <w:r>
        <w:rPr>
          <w:b/>
        </w:rPr>
        <w:t>Emilią Wolską</w:t>
      </w:r>
      <w:r>
        <w:rPr/>
        <w:t>.</w:t>
      </w:r>
      <w:r>
        <w:rPr>
          <w:rStyle w:val="FootnoteReference"/>
        </w:rPr>
        <w:footnoteReference w:id="207"/>
      </w:r>
      <w:r>
        <w:rPr/>
        <w:t xml:space="preserve"> Dzieci Władysława to:</w:t>
      </w:r>
      <w:r>
        <w:rPr>
          <w:rStyle w:val="FootnoteReference"/>
        </w:rPr>
        <w:footnoteReference w:id="208"/>
      </w:r>
    </w:p>
    <w:p>
      <w:pPr>
        <w:pStyle w:val="ListBullet"/>
        <w:spacing w:after="60"/>
      </w:pPr>
      <w:r>
        <w:rPr>
          <w:b/>
        </w:rPr>
        <w:t>Julian</w:t>
      </w:r>
      <w:r>
        <w:rPr/>
        <w:t xml:space="preserve"> (1836–1916), kanonik krakowski. „Jako młody brał udział w Powstaniu Styczniowym i po licznych przygodach wstąpił do seminarium”. Jego portret pędzla Wyczółkowskiego był w Ciszecinie i przepadł zaraz po II wojnie. Spoczął na cmentarzu Rakowickim.</w:t>
      </w:r>
    </w:p>
    <w:p>
      <w:pPr>
        <w:pStyle w:val="ListBullet"/>
        <w:spacing w:after="60"/>
      </w:pPr>
      <w:r>
        <w:rPr>
          <w:b/>
        </w:rPr>
        <w:t>Bolesław</w:t>
      </w:r>
      <w:r>
        <w:rPr/>
        <w:t xml:space="preserve"> (ur. 1848, a według innego zapisu 1850, zm. 24 III 1916 we Lwowie), ojciec Eweliny. Zeszyt pisze o nim: „był surowych zasad, b. oszczędny, elegancki (ubierał się w Wiedniu). W Kasynie Narodowym we Lwowie był sędzią od spraw savoir-vivre”. Jego portret pędzla Aleksandra Augustynowicza przechowywał Andrzej Radoszewski. Żoną Bolesława była </w:t>
      </w:r>
      <w:r>
        <w:rPr>
          <w:b/>
        </w:rPr>
        <w:t>Bronisława z Terleckich herbu Sas</w:t>
      </w:r>
      <w:r>
        <w:rPr/>
        <w:t xml:space="preserve"> (1847–24 III 1941) z Ciszecina, córka Marcelego Terleckiego i Ludwiki z Paprockich.</w:t>
      </w:r>
    </w:p>
    <w:p>
      <w:pPr>
        <w:pStyle w:val="ListBullet"/>
        <w:spacing w:after="60"/>
      </w:pPr>
      <w:r>
        <w:rPr>
          <w:b/>
        </w:rPr>
        <w:t>Stanisława z Drohojowskich Pepłowska</w:t>
      </w:r>
      <w:r>
        <w:rPr/>
        <w:t xml:space="preserve">, rozwiedziona. Mieszkała w Piotrkowiczach, a po ich sprzedaży w 1933 roku w Warszawie, w swoim domu przy Żelaznej 30. Pisała powieści pod pseudonimem „Korczak”. Ciocia Jadzia Białynicka pamiętała, jak „piękna Stanisława P. deklamowała </w:t>
      </w:r>
      <w:r>
        <w:rPr>
          <w:i/>
        </w:rPr>
        <w:t>Smutno mi Boże</w:t>
      </w:r>
      <w:r>
        <w:rPr/>
        <w:t>”.</w:t>
      </w:r>
    </w:p>
    <w:p>
      <w:r>
        <w:rPr/>
        <w:t>Dzieci Bolesława i Bronisławy:</w:t>
      </w:r>
      <w:r>
        <w:rPr>
          <w:rStyle w:val="FootnoteReference"/>
        </w:rPr>
        <w:footnoteReference w:id="209"/>
      </w:r>
    </w:p>
    <w:p>
      <w:pPr>
        <w:pStyle w:val="ListBullet"/>
        <w:spacing w:after="60"/>
      </w:pPr>
      <w:r>
        <w:rPr>
          <w:b/>
        </w:rPr>
        <w:t>Maria (Marynia) Madeyska</w:t>
      </w:r>
      <w:r>
        <w:rPr/>
        <w:t xml:space="preserve"> (1876–1944), żona Madeyskiego herbu Poraj. Mieszkała w Perehińsku[?], a jako wdowa we Lwowie. Jej dzieci to Maria Łosiowa[?] (ur. 1899), Jan (1902–1969) i Andrzej (ur. 1906), który wyjechał do Ameryki. Jan był rolnikiem, w czasie wojny mieszkał we Francji i zmarł w Paryżu. Jego synami byli Jerzy, historyk sztuki w Krakowie, i chemik mieszkający we Francji. Z drugą żoną, Francuzką Lulu (Lucile Reizeux[?]), miał syna i córkę. Zeszyt wymienia też ich dzieci i wnuki: Jean-Luca, Joëlle, Maïté (1979) i Mathiasa (1981).</w:t>
      </w:r>
    </w:p>
    <w:p>
      <w:pPr>
        <w:pStyle w:val="ListBullet"/>
        <w:spacing w:after="60"/>
      </w:pPr>
      <w:r>
        <w:rPr>
          <w:b/>
        </w:rPr>
        <w:t>Ewelina (Ewa)</w:t>
      </w:r>
      <w:r>
        <w:rPr/>
        <w:t xml:space="preserve"> (1880–1955), żona Michała Radoszewskiego.</w:t>
      </w:r>
    </w:p>
    <w:p>
      <w:pPr>
        <w:pStyle w:val="ListBullet"/>
        <w:spacing w:after="60"/>
      </w:pPr>
      <w:r>
        <w:rPr>
          <w:b/>
        </w:rPr>
        <w:t>Jan Drohojowski</w:t>
      </w:r>
      <w:r>
        <w:rPr/>
        <w:t xml:space="preserve"> (1886–1944 albo 1945), „zielony ludowiec[?]”, który „przyjaźnił się i działał przy boku Witosa” w stronnictwie „Piast”. Był właścicielem Piotrkowicz (rozparcelowanych w 1933 roku) i Ciszecina Wielkiego. Testamentem zapisał Ciszecin Jerzemu Radoszewskiemu. Był zamiłowanym myśliwym. Po wojnie, gdy zabrano mu Ciszecin, mieszkał w Jarosławiu. Wywieziono go do Borowicz za Moskwą, a potem do obozu Jagły[?], gdzie zmarł w kwietniu 1945 roku i został pochowany.</w:t>
      </w:r>
    </w:p>
    <w:p>
      <w:r>
        <w:rPr/>
        <w:t xml:space="preserve">Grób Drohojowskich jest w </w:t>
      </w:r>
      <w:r>
        <w:rPr>
          <w:b/>
        </w:rPr>
        <w:t>Zarzeczu</w:t>
      </w:r>
      <w:r>
        <w:rPr/>
        <w:t xml:space="preserve"> koło Jarosławia, w parafii Ciszecina. Spoczywają w nim Bolesław, Bronisława i Maria Madeyska.</w:t>
      </w:r>
      <w:r>
        <w:rPr>
          <w:rStyle w:val="FootnoteReference"/>
        </w:rPr>
        <w:footnoteReference w:id="210"/>
      </w:r>
    </w:p>
    <w:p>
      <w:pPr>
        <w:pStyle w:val="Heading2"/>
      </w:pPr>
      <w:r>
        <w:rPr/>
        <w:t>13.2. Prządzyńscy herbu Grzymała (rodzina Anny)</w:t>
      </w:r>
    </w:p>
    <w:p>
      <w:r>
        <w:rPr>
          <w:b/>
        </w:rPr>
        <w:t>Ród.</w:t>
      </w:r>
      <w:r>
        <w:rPr/>
        <w:t xml:space="preserve"> Zeszyt prowadzi drzewo Prządzyńskich od </w:t>
      </w:r>
      <w:r>
        <w:rPr>
          <w:b/>
        </w:rPr>
        <w:t>Macieja, kasztelana przemyskiego (1577)</w:t>
      </w:r>
      <w:r>
        <w:rPr/>
        <w:t xml:space="preserve">, przez Jędrzeja (w innej wersji Jakuba, kanonika gnieźnieńskiego zm. 1600, z nagrobkiem w katedrze poznańskiej) i Hieronima do Aleksandra. Dalej idą: Stanisław, żonaty z Anną Chłapowską (1. połowa XVII wieku), Władysław (1694) i </w:t>
      </w:r>
      <w:r>
        <w:rPr>
          <w:b/>
        </w:rPr>
        <w:t>Antoni</w:t>
      </w:r>
      <w:r>
        <w:rPr/>
        <w:t xml:space="preserve"> (1717–1798), żonaty z Marianną Bardzką herbu Sas. Ich synem był </w:t>
      </w:r>
      <w:r>
        <w:rPr>
          <w:b/>
        </w:rPr>
        <w:t>Stanisław</w:t>
      </w:r>
      <w:r>
        <w:rPr/>
        <w:t xml:space="preserve"> (1761–1817) z Malczewa. Był prawnikiem i członkiem palestry poznańskiej, w powstaniu kościuszkowskim „bił się pod gen. Lipskim i Dąbrowskim”, a potem był prokuratorem przy Trybunale w Poznaniu. Ożenił się z </w:t>
      </w:r>
      <w:r>
        <w:rPr>
          <w:b/>
        </w:rPr>
        <w:t>Marianną z Bronikowskich</w:t>
      </w:r>
      <w:r>
        <w:rPr/>
        <w:t xml:space="preserve"> (zm. 1847). Zmarł w Wiatrowie u Moszczeńskich, a pochowano go w Jarząbkowie koło Gniezna. Jego syn, generał, wzniósł przy grobowcu rodziców pomnik.</w:t>
      </w:r>
      <w:r>
        <w:rPr>
          <w:rStyle w:val="FootnoteReference"/>
        </w:rPr>
        <w:footnoteReference w:id="211"/>
      </w:r>
    </w:p>
    <w:p>
      <w:r>
        <w:rPr>
          <w:b/>
        </w:rPr>
        <w:t>Generał Ignacy Prządzyński</w:t>
      </w:r>
      <w:r>
        <w:rPr/>
        <w:t xml:space="preserve"> (20 VII 1792 – 24 VIII 1850), syn Stanisława, był inżynierem wojskowym. Zeszyt opisuje jego życie szczegółowo:</w:t>
      </w:r>
      <w:r>
        <w:rPr>
          <w:rStyle w:val="FootnoteReference"/>
        </w:rPr>
        <w:footnoteReference w:id="212"/>
      </w:r>
    </w:p>
    <w:p>
      <w:pPr>
        <w:pStyle w:val="ListBullet"/>
        <w:spacing w:after="60"/>
      </w:pPr>
      <w:r>
        <w:rPr/>
        <w:t>uczył się w Dreźnie, a w 1807 roku wstąpił do piechoty;</w:t>
      </w:r>
    </w:p>
    <w:p>
      <w:pPr>
        <w:pStyle w:val="ListBullet"/>
        <w:spacing w:after="60"/>
      </w:pPr>
      <w:r>
        <w:rPr/>
        <w:t>brał udział w kampaniach 1809 (fortyfikacja Modlina), 1812 (wyprawa na Moskwę, pod Bobrujskiem) i 1813 (pod Lipskiem awansował na szefa batalionu);</w:t>
      </w:r>
    </w:p>
    <w:p>
      <w:pPr>
        <w:pStyle w:val="ListBullet"/>
        <w:spacing w:after="60"/>
      </w:pPr>
      <w:r>
        <w:rPr/>
        <w:t>wykładał oficerom strategię i napisał dzieło o fortyfikacjach polowych;</w:t>
      </w:r>
    </w:p>
    <w:p>
      <w:pPr>
        <w:pStyle w:val="ListBullet"/>
        <w:spacing w:after="60"/>
      </w:pPr>
      <w:r>
        <w:rPr>
          <w:b/>
        </w:rPr>
        <w:t>zaprojektował i budował Kanał Augustowski</w:t>
      </w:r>
      <w:r>
        <w:rPr/>
        <w:t>, a według jego projektów powstała twierdza w Dęblinie;</w:t>
      </w:r>
    </w:p>
    <w:p>
      <w:pPr>
        <w:pStyle w:val="ListBullet"/>
        <w:spacing w:after="60"/>
      </w:pPr>
      <w:r>
        <w:rPr/>
        <w:t>w latach 1826–1829 był więziony w dawnym klasztorze karmelitów. Żona zamieszkała naprzeciwko, a listy między nimi miał przenosić pies „Butor”[?];</w:t>
      </w:r>
    </w:p>
    <w:p>
      <w:pPr>
        <w:pStyle w:val="ListBullet"/>
        <w:spacing w:after="60"/>
      </w:pPr>
      <w:r>
        <w:rPr/>
        <w:t>w 1831 roku był generałem dywizji;</w:t>
      </w:r>
    </w:p>
    <w:p>
      <w:pPr>
        <w:pStyle w:val="ListBullet"/>
        <w:spacing w:after="60"/>
      </w:pPr>
      <w:r>
        <w:rPr/>
        <w:t xml:space="preserve">po powstaniu listopadowym został zesłany, a do kraju wrócił w 1833 roku. Zmarł na wyspie </w:t>
      </w:r>
      <w:r>
        <w:rPr>
          <w:b/>
        </w:rPr>
        <w:t>Helgoland</w:t>
      </w:r>
      <w:r>
        <w:rPr/>
        <w:t>.</w:t>
      </w:r>
    </w:p>
    <w:p>
      <w:r>
        <w:rPr/>
        <w:t xml:space="preserve">Żoną generała była </w:t>
      </w:r>
      <w:r>
        <w:rPr>
          <w:b/>
        </w:rPr>
        <w:t>Emilia z Rudkowskich</w:t>
      </w:r>
      <w:r>
        <w:rPr/>
        <w:t xml:space="preserve"> (1806–1885 albo 1886), a nazwisko zapisano w źródłach także jako Rutkowska[?]. Mieli czworo dzieci:</w:t>
      </w:r>
    </w:p>
    <w:p>
      <w:pPr>
        <w:pStyle w:val="ListBullet"/>
        <w:spacing w:after="60"/>
      </w:pPr>
      <w:r>
        <w:rPr/>
        <w:t>Staś (1830–1831);</w:t>
      </w:r>
    </w:p>
    <w:p>
      <w:pPr>
        <w:pStyle w:val="ListBullet"/>
        <w:spacing w:after="60"/>
      </w:pPr>
      <w:r>
        <w:rPr/>
        <w:t>Emilia (1834–1836), która zmarła z poparzeń;</w:t>
      </w:r>
    </w:p>
    <w:p>
      <w:pPr>
        <w:pStyle w:val="ListBullet"/>
        <w:spacing w:after="60"/>
      </w:pPr>
      <w:r>
        <w:rPr/>
        <w:t>Helena, żona Wacława Hermieska[?], matka jedynego syna Kazimierza;</w:t>
      </w:r>
    </w:p>
    <w:p>
      <w:pPr>
        <w:pStyle w:val="ListBullet"/>
        <w:spacing w:after="60"/>
      </w:pPr>
      <w:r>
        <w:rPr>
          <w:b/>
        </w:rPr>
        <w:t>Sylwia</w:t>
      </w:r>
      <w:r>
        <w:rPr/>
        <w:t xml:space="preserve"> (1837–1861 albo 1862), literatka, pochowana z matką na Powązkach.</w:t>
      </w:r>
    </w:p>
    <w:p>
      <w:r>
        <w:rPr/>
        <w:t xml:space="preserve">Siostra generała, </w:t>
      </w:r>
      <w:r>
        <w:rPr>
          <w:b/>
        </w:rPr>
        <w:t>Sylwia</w:t>
      </w:r>
      <w:r>
        <w:rPr/>
        <w:t xml:space="preserve">, wyszła za generała Jana Rogalę hr. Krasickiego. Druga siostra, </w:t>
      </w:r>
      <w:r>
        <w:rPr>
          <w:b/>
        </w:rPr>
        <w:t>Nepomucena</w:t>
      </w:r>
      <w:r>
        <w:rPr/>
        <w:t>, wyszła za Antoniego Moszczeńskiego. Jej syn Teodor poległ pod Domanicami, walcząc pod wodzą wuja, a drugi syn, Jerzy, „towarzyszył wujowi na Helgoland”.</w:t>
      </w:r>
      <w:r>
        <w:rPr>
          <w:rStyle w:val="FootnoteReference"/>
        </w:rPr>
        <w:footnoteReference w:id="213"/>
      </w:r>
    </w:p>
    <w:p>
      <w:r>
        <w:rPr>
          <w:b/>
        </w:rPr>
        <w:t>Senator Wincenty Prządzyński</w:t>
      </w:r>
      <w:r>
        <w:rPr/>
        <w:t xml:space="preserve"> (5 IV 1795 w Gnieźnie – 19 XI 1858 w Warszawie), młodszy brat generała, był prawnikiem. Po 1831 roku jako komisarz pełnomocny wyznaczał granice Królestwa z Galicją i Poznańskiem, z tego pięć lat pracował w Berlinie. W 1840 roku został dyrektorem wydziału w Komisji Rządowej Sprawiedliwości i otrzymał tytuł rzeczywistego radcy stanu. W 1850 roku został członkiem warszawskiego departamentu Senatu. Do niego należały Papratnia[?], Złotniki[?], Karsków[?], </w:t>
      </w:r>
      <w:r>
        <w:rPr>
          <w:b/>
        </w:rPr>
        <w:t>Leźnica Wielka</w:t>
      </w:r>
      <w:r>
        <w:rPr/>
        <w:t xml:space="preserve">, Topola Katowa, Kobierzycko i Wola Wiązowa. Jego żoną była </w:t>
      </w:r>
      <w:r>
        <w:rPr>
          <w:b/>
        </w:rPr>
        <w:t>Salomea z Mierzyńskich herbu Jastrzębiec</w:t>
      </w:r>
      <w:r>
        <w:rPr/>
        <w:t xml:space="preserve"> (1800–12 III 1877), córka Rafała i Marcjanny z Zagajewskich. Mieli pięciu synów i dwie córki. Daty dzieci, które zmarły młodo (Michaliny, Stanisława, Pelagii i Bolesława), są w źródłach bardzo rozbieżne. W kaplicy rodowej w </w:t>
      </w:r>
      <w:r>
        <w:rPr>
          <w:b/>
        </w:rPr>
        <w:t>Leźnicy Wielkiej</w:t>
      </w:r>
      <w:r>
        <w:rPr/>
        <w:t xml:space="preserve"> koło Łęczycy spoczywa kilka pokoleń Prządzyńskich.</w:t>
      </w:r>
      <w:r>
        <w:rPr>
          <w:rStyle w:val="FootnoteReference"/>
        </w:rPr>
        <w:footnoteReference w:id="214"/>
      </w:r>
    </w:p>
    <w:p>
      <w:r>
        <w:rPr/>
        <w:t>Synowie senatora:</w:t>
      </w:r>
      <w:r>
        <w:rPr>
          <w:rStyle w:val="FootnoteReference"/>
        </w:rPr>
        <w:footnoteReference w:id="215"/>
      </w:r>
    </w:p>
    <w:p>
      <w:pPr>
        <w:pStyle w:val="ListBullet"/>
        <w:spacing w:after="60"/>
      </w:pPr>
      <w:r>
        <w:rPr>
          <w:b/>
        </w:rPr>
        <w:t>Edward</w:t>
      </w:r>
      <w:r>
        <w:rPr/>
        <w:t xml:space="preserve"> (1838–1895) studiował prawo w Paryżu. Za udział w powstaniu 1863 roku zesłano go do guberni jenisejskiej. Ożenił się ze Skórzewską. Pochowano go w Woli Wiązowej.</w:t>
      </w:r>
    </w:p>
    <w:p>
      <w:pPr>
        <w:pStyle w:val="ListBullet"/>
        <w:spacing w:after="60"/>
      </w:pPr>
      <w:r>
        <w:rPr>
          <w:b/>
        </w:rPr>
        <w:t>Wincenty</w:t>
      </w:r>
      <w:r>
        <w:rPr/>
        <w:t xml:space="preserve"> (1839–1895) ukończył wydział techniczny w Paryżu i walczył w powstaniu styczniowym, w bitwie pod Sędziejowicami. W Kobierzycku założył fabrykę mączki kostnej i narzędzi rolniczych oraz młyn parowy. Przy ul. Miodowej w Warszawie działała firma „Prządzyński i Tryliński”. Zeszyt przytacza anegdotę: gdy senatorowa, matka Wincentego, „jechała karetą przez Miodową, to odwracała się, aby nie patrzeć na firmę”. Pod koniec życia Wincenty stracił wzrok i popadł w kłopoty. Około 1890 roku kupił od Rozdrażewskich </w:t>
      </w:r>
      <w:r>
        <w:rPr>
          <w:b/>
        </w:rPr>
        <w:t>Kościerzyn</w:t>
      </w:r>
      <w:r>
        <w:rPr/>
        <w:t>. Według zeszytu majątek kupił na licytacji jego bratanek Stanisław.</w:t>
      </w:r>
    </w:p>
    <w:p>
      <w:pPr>
        <w:pStyle w:val="ListBullet"/>
        <w:spacing w:after="60"/>
      </w:pPr>
      <w:r>
        <w:rPr>
          <w:b/>
        </w:rPr>
        <w:t>Władysław</w:t>
      </w:r>
      <w:r>
        <w:rPr/>
        <w:t xml:space="preserve"> (1837–1898) studiował w Warszawie i Paryżu i był sędzią pokoju okręgu łęczyckiego. W 1870 roku poślubił </w:t>
      </w:r>
      <w:r>
        <w:rPr>
          <w:b/>
        </w:rPr>
        <w:t>Annę ze Skrzyńskich</w:t>
      </w:r>
      <w:r>
        <w:rPr/>
        <w:t xml:space="preserve"> z Gostkowa (1848–1883). Owdowiawszy, nie ożenił się powtórnie „i z wielką miłością i troskliwością wychowywał dzieci”.</w:t>
      </w:r>
    </w:p>
    <w:p>
      <w:r>
        <w:rPr/>
        <w:t>Dzieci Władysława i Anny:</w:t>
      </w:r>
      <w:r>
        <w:rPr>
          <w:rStyle w:val="FootnoteReference"/>
        </w:rPr>
        <w:footnoteReference w:id="216"/>
      </w:r>
    </w:p>
    <w:p>
      <w:pPr>
        <w:pStyle w:val="ListBullet"/>
        <w:spacing w:after="60"/>
      </w:pPr>
      <w:r>
        <w:rPr>
          <w:b/>
        </w:rPr>
        <w:t>Stanisław</w:t>
      </w:r>
      <w:r>
        <w:rPr/>
        <w:t xml:space="preserve"> (2 albo 3 VII 1871 w Leźnicy Wielkiej – 2 albo 3 II 1957), „Dziadzio Staś”, opisany niżej.</w:t>
      </w:r>
    </w:p>
    <w:p>
      <w:pPr>
        <w:pStyle w:val="ListBullet"/>
        <w:spacing w:after="60"/>
      </w:pPr>
      <w:r>
        <w:rPr>
          <w:b/>
        </w:rPr>
        <w:t>Ignacy</w:t>
      </w:r>
      <w:r>
        <w:rPr/>
        <w:t xml:space="preserve"> (1872–1890).</w:t>
      </w:r>
    </w:p>
    <w:p>
      <w:pPr>
        <w:pStyle w:val="ListBullet"/>
        <w:spacing w:after="60"/>
      </w:pPr>
      <w:r>
        <w:rPr>
          <w:b/>
        </w:rPr>
        <w:t>Zdzisław</w:t>
      </w:r>
      <w:r>
        <w:rPr/>
        <w:t xml:space="preserve"> (ur. 1874).</w:t>
      </w:r>
    </w:p>
    <w:p>
      <w:pPr>
        <w:pStyle w:val="ListBullet"/>
        <w:spacing w:after="60"/>
      </w:pPr>
      <w:r>
        <w:rPr>
          <w:b/>
        </w:rPr>
        <w:t>Władysława</w:t>
      </w:r>
      <w:r>
        <w:rPr/>
        <w:t xml:space="preserve"> (1879–1933), żona Stefana Wilskiego.</w:t>
      </w:r>
    </w:p>
    <w:p>
      <w:pPr>
        <w:pStyle w:val="ListBullet"/>
        <w:spacing w:after="60"/>
      </w:pPr>
      <w:r>
        <w:rPr>
          <w:b/>
        </w:rPr>
        <w:t>Anna</w:t>
      </w:r>
      <w:r>
        <w:rPr/>
        <w:t>, „Babcia Netka” (zm. 25 XI 1960), urszulanka szara i wieloletnia przełożona w Pniewach. Spoczywa na cmentarzu urszulanek w Pniewach.</w:t>
      </w:r>
    </w:p>
    <w:p>
      <w:r>
        <w:rPr>
          <w:b/>
        </w:rPr>
        <w:t>Stanisław Prządzyński i Kościerzyn.</w:t>
      </w:r>
      <w:r>
        <w:rPr/>
        <w:t xml:space="preserve"> Jako młody człowiek Stanisław musiał „przyjechać ratować i zająć się stryjem” Wincentym. Kościerzyn „dzięki wielkiej pracy i umiejętnościom organizacyjnym doprowadził do kwitnącego stanu”. Majątek liczył około 380 ha, czyli 22 włóki „b. dobrej ziemi”.</w:t>
      </w:r>
      <w:r>
        <w:rPr>
          <w:rStyle w:val="FootnoteReference"/>
        </w:rPr>
        <w:footnoteReference w:id="217"/>
      </w:r>
      <w:r>
        <w:rPr/>
        <w:t xml:space="preserve"> Hodowano w nim konie: ogiery i klacze sprowadzano z Węgier, a młode konie co roku kupowała komisja wojskowa na „remonty”. Produkowano ziarno siewne, buraki cukrowe i ziemniaki. Masło i baranina szły do Francji i Belgii.</w:t>
      </w:r>
      <w:r>
        <w:rPr>
          <w:rStyle w:val="FootnoteReference"/>
        </w:rPr>
        <w:footnoteReference w:id="218"/>
      </w:r>
      <w:r>
        <w:rPr/>
        <w:t xml:space="preserve"> Od 1922 roku do wojny Stanisław był prezesem sieradzkiego oddziału </w:t>
      </w:r>
      <w:r>
        <w:rPr>
          <w:b/>
        </w:rPr>
        <w:t>Związku Ziemian</w:t>
      </w:r>
      <w:r>
        <w:rPr/>
        <w:t xml:space="preserve">. Organizował Syndykat Rolniczy w Kaliszu i Spółdzielnię Rolniczą w Sieradzu, a na praktyki przyjmował studentów rolnictwa. Ok. 1915–1916 roku zbudował </w:t>
      </w:r>
      <w:r>
        <w:rPr>
          <w:b/>
        </w:rPr>
        <w:t>nowy murowany dwór</w:t>
      </w:r>
      <w:r>
        <w:rPr/>
        <w:t>, według tradycji rodzinnej według własnego projektu. Dwór miał kanalizację, centralne ogrzewanie, własną elektrownię akumulatorową i telefon z centralką obsługiwaną przez starego Wojciecha. Wojciech wcześniej „nosił za senatorem Prządzyńskim teczkę do senatu”.</w:t>
      </w:r>
      <w:r>
        <w:rPr>
          <w:rStyle w:val="FootnoteReference"/>
        </w:rPr>
        <w:footnoteReference w:id="219"/>
      </w:r>
      <w:r>
        <w:rPr/>
        <w:t xml:space="preserve"> Kajzer nazwał ten dwór „znakomitym przykładem XX-wiecznego stylu dworkowego”.</w:t>
      </w:r>
      <w:r>
        <w:rPr>
          <w:rStyle w:val="FootnoteReference"/>
        </w:rPr>
        <w:footnoteReference w:id="220"/>
      </w:r>
      <w:r>
        <w:rPr/>
        <w:t xml:space="preserve"> We dworze była kaplica, polsko-francuska biblioteka i archiwum rodzinne z drzewami genealogicznymi Prządzyńskich. Wszystko to zaginęło w czasie wojny i tuż po niej.</w:t>
      </w:r>
      <w:r>
        <w:rPr>
          <w:rStyle w:val="FootnoteReference"/>
        </w:rPr>
        <w:footnoteReference w:id="221"/>
      </w:r>
    </w:p>
    <w:p>
      <w:r>
        <w:rPr/>
        <w:t xml:space="preserve">Żoną Stanisława była </w:t>
      </w:r>
      <w:r>
        <w:rPr>
          <w:b/>
        </w:rPr>
        <w:t>Stanisława z Grabińskich herbu Pomian</w:t>
      </w:r>
      <w:r>
        <w:rPr/>
        <w:t xml:space="preserve"> (25 XI 1890 – 2 XII 1980), „Babcia Stacha”. Ukończyła pensję w Warszawie i szkołę generałowej Zamoyskiej w Kuźnicach. Znała biegle francuski, niemiecki i rosyjski. Ślub odbył się 19 grudnia 1912 roku w Warszawie. W Kościerzynie opiekowała się pracownikami. Zeszyt pisze: „gdy któraś z dziewcząt wychodziła za mąż, zawsze przychodziła prosić Babcię o upięcie welonu”. Utrzymywała ochronkę, w maju prowadziła w dworskiej kaplicy nabożeństwa majowe. Zeszyt opisuje też dożynki ze śpiewem i sieradzkimi strojami oraz szklarnię, z której „całą zimę były we dworze piękne kwiaty”.</w:t>
      </w:r>
      <w:r>
        <w:rPr>
          <w:rStyle w:val="FootnoteReference"/>
        </w:rPr>
        <w:footnoteReference w:id="222"/>
      </w:r>
      <w:r>
        <w:rPr/>
        <w:t xml:space="preserve"> Po wkroczeniu Niemców oboje zostali wysiedleni. Mieszkali w swoim domu przy Nowogrodzkiej 42 róg Poznańskiej. Po powstaniu warszawskim wywieziono ich do obozu w Pruszkowie. Dom spłonął, a po odbudowie zabrano go bez odszkodowania. „Mimo zupełnej zmiany warunków nigdy nie narzekali i umieli dostosować się do ciężkiej rzeczywistości”.</w:t>
      </w:r>
      <w:r>
        <w:rPr>
          <w:rStyle w:val="FootnoteReference"/>
        </w:rPr>
        <w:footnoteReference w:id="223"/>
      </w:r>
    </w:p>
    <w:p>
      <w:r>
        <w:rPr/>
        <w:t xml:space="preserve">Dzieci Stanisława i Stanisławy to </w:t>
      </w:r>
      <w:r>
        <w:rPr>
          <w:b/>
        </w:rPr>
        <w:t>Anna Maria</w:t>
      </w:r>
      <w:r>
        <w:rPr/>
        <w:t xml:space="preserve"> (1914–1999), żona Jerzego Radoszewskiego, oraz:</w:t>
      </w:r>
      <w:r>
        <w:rPr>
          <w:rStyle w:val="FootnoteReference"/>
        </w:rPr>
        <w:footnoteReference w:id="224"/>
      </w:r>
    </w:p>
    <w:p>
      <w:pPr>
        <w:pStyle w:val="ListBullet"/>
        <w:spacing w:after="60"/>
      </w:pPr>
      <w:r>
        <w:rPr>
          <w:b/>
        </w:rPr>
        <w:t>Andrzej</w:t>
      </w:r>
      <w:r>
        <w:rPr/>
        <w:t xml:space="preserve"> (1917–1981), absolwent Wyższej Szkoły Rolniczej w Cieszynie, żonaty z Haliną Madalińską. Miał dzieci Stanisława (ur. 1944) i Katarzynę (ur. 1949).</w:t>
      </w:r>
    </w:p>
    <w:p>
      <w:pPr>
        <w:pStyle w:val="ListBullet"/>
        <w:spacing w:after="60"/>
      </w:pPr>
      <w:r>
        <w:rPr>
          <w:b/>
        </w:rPr>
        <w:t>Maria (Marychna)</w:t>
      </w:r>
      <w:r>
        <w:rPr/>
        <w:t xml:space="preserve"> (ur. 1919), żona Tomasza Szweycera. Miała czworo dzieci: Stanisława, Annę, Zofię i Magdalenę. Anna mieszkała w Antony pod Paryżem.</w:t>
      </w:r>
    </w:p>
    <w:p>
      <w:pPr>
        <w:pStyle w:val="Heading2"/>
      </w:pPr>
      <w:r>
        <w:rPr/>
        <w:t>13.3. Grabińscy herbu Pomian i Brandlowie (rodzina Stanisławy)</w:t>
      </w:r>
    </w:p>
    <w:p>
      <w:r>
        <w:rPr/>
        <w:t xml:space="preserve">Zeszyt prowadzi Grabińskich od </w:t>
      </w:r>
      <w:r>
        <w:rPr>
          <w:b/>
        </w:rPr>
        <w:t>Jana z Grabna (1458)</w:t>
      </w:r>
      <w:r>
        <w:rPr/>
        <w:t xml:space="preserve">. Dalej idą Hieronim, Jan (zm. 1617) i Stanisław (zm. 1676). Linia prosta biegnie przez Hieronima, kasztelana sieradzkiego (1666), Jana (zm. 1710) i Stanisława do </w:t>
      </w:r>
      <w:r>
        <w:rPr>
          <w:b/>
        </w:rPr>
        <w:t>Jana Tomasza</w:t>
      </w:r>
      <w:r>
        <w:rPr/>
        <w:t xml:space="preserve"> (1719–1791), żonatego z Jadwigą Zamoyską. Potem następują </w:t>
      </w:r>
      <w:r>
        <w:rPr>
          <w:b/>
        </w:rPr>
        <w:t>Piotr Paweł Bogusław</w:t>
      </w:r>
      <w:r>
        <w:rPr/>
        <w:t xml:space="preserve"> (1750 albo 1740 – 1831), żonaty z Katarzyną Domaniewską, </w:t>
      </w:r>
      <w:r>
        <w:rPr>
          <w:b/>
        </w:rPr>
        <w:t>Adam Stefan Jan</w:t>
      </w:r>
      <w:r>
        <w:rPr/>
        <w:t xml:space="preserve"> (1803–1868), żonaty z Pauliną Madalińską, i </w:t>
      </w:r>
      <w:r>
        <w:rPr>
          <w:b/>
        </w:rPr>
        <w:t>Edward</w:t>
      </w:r>
      <w:r>
        <w:rPr/>
        <w:t xml:space="preserve"> (1859–1911).</w:t>
      </w:r>
      <w:r>
        <w:rPr>
          <w:rStyle w:val="FootnoteReference"/>
        </w:rPr>
        <w:footnoteReference w:id="225"/>
      </w:r>
      <w:r>
        <w:rPr/>
        <w:t xml:space="preserve"> Linia boczna doszła do generała </w:t>
      </w:r>
      <w:r>
        <w:rPr>
          <w:b/>
        </w:rPr>
        <w:t>Joachima Józefa Grabińskiego</w:t>
      </w:r>
      <w:r>
        <w:rPr/>
        <w:t xml:space="preserve"> (1767–1843), którego marmurowe popiersie stoi na cmentarzu polskim w Bolonii.</w:t>
      </w:r>
      <w:r>
        <w:rPr>
          <w:rStyle w:val="FootnoteReference"/>
        </w:rPr>
        <w:footnoteReference w:id="226"/>
      </w:r>
      <w:r>
        <w:rPr/>
        <w:t xml:space="preserve"> Z rodu pochodzili też opaci oliwscy Jan i Aleksander Grabińscy (lata 30. XVII wieku). Ufundowali ołtarze, portale, lavatorium i dzwon w katedrze oliwskiej.</w:t>
      </w:r>
      <w:r>
        <w:rPr>
          <w:rStyle w:val="FootnoteReference"/>
        </w:rPr>
        <w:footnoteReference w:id="227"/>
      </w:r>
    </w:p>
    <w:p>
      <w:r>
        <w:rPr>
          <w:b/>
        </w:rPr>
        <w:t>Edward Grabiński</w:t>
      </w:r>
      <w:r>
        <w:rPr/>
        <w:t xml:space="preserve"> był przemysłowcem i zbudował kamienicę przy </w:t>
      </w:r>
      <w:r>
        <w:rPr>
          <w:b/>
        </w:rPr>
        <w:t>Alejach Jerozolimskich 37</w:t>
      </w:r>
      <w:r>
        <w:rPr/>
        <w:t xml:space="preserve">. Jego żona, </w:t>
      </w:r>
      <w:r>
        <w:rPr>
          <w:b/>
        </w:rPr>
        <w:t>Maria z Brandlów</w:t>
      </w:r>
      <w:r>
        <w:rPr/>
        <w:t xml:space="preserve"> (1870 – 14 II 1945), „prababcia” z zeszytu, wcześnie owdowiała. Sama wychowała czworo dzieci i sama zarządzała kamienicą. „Dom Prababci był domem otwartym dla wszystkich potrzebujących”. W 1939 roku spłonął front domu z jej mieszkaniem. Po powstaniu warszawskim Niemcy wywieźli ją do Krakowa, gdzie zmarła. Córki przewiozły potem jej ciało na Powązki.</w:t>
      </w:r>
      <w:r>
        <w:rPr>
          <w:rStyle w:val="FootnoteReference"/>
        </w:rPr>
        <w:footnoteReference w:id="228"/>
      </w:r>
      <w:r>
        <w:rPr/>
        <w:t xml:space="preserve"> Jej ojciec, </w:t>
      </w:r>
      <w:r>
        <w:rPr>
          <w:b/>
        </w:rPr>
        <w:t>Seweryn Brandel</w:t>
      </w:r>
      <w:r>
        <w:rPr/>
        <w:t xml:space="preserve"> (zm. 1919), był rzeczywistym radcą stanu i jednym z założycieli Filharmonii Warszawskiej i Towarzystwa Dobroczynności. Matką była </w:t>
      </w:r>
      <w:r>
        <w:rPr>
          <w:b/>
        </w:rPr>
        <w:t>Leokadia z Dzbskich[?] (Dąbskich?)</w:t>
      </w:r>
      <w:r>
        <w:rPr/>
        <w:t xml:space="preserve"> (1850–1892).</w:t>
      </w:r>
      <w:r>
        <w:rPr>
          <w:rStyle w:val="FootnoteReference"/>
        </w:rPr>
        <w:footnoteReference w:id="229"/>
      </w:r>
      <w:r>
        <w:rPr/>
        <w:t xml:space="preserve"> Stryjecznym bratem Seweryna był malarz </w:t>
      </w:r>
      <w:r>
        <w:rPr>
          <w:b/>
        </w:rPr>
        <w:t>Konstanty Brandel</w:t>
      </w:r>
      <w:r>
        <w:rPr/>
        <w:t xml:space="preserve"> (1880–1970), wykształcony w Krakowie i w Paryżu. Brat jego ojca, Konrad Brandel, był znanym fotografem.</w:t>
      </w:r>
      <w:r>
        <w:rPr>
          <w:rStyle w:val="FootnoteReference"/>
        </w:rPr>
        <w:footnoteReference w:id="230"/>
      </w:r>
    </w:p>
    <w:p>
      <w:r>
        <w:rPr/>
        <w:t>Rodzeństwo Stanisławy z Grabińskich:</w:t>
      </w:r>
      <w:r>
        <w:rPr>
          <w:rStyle w:val="FootnoteReference"/>
        </w:rPr>
        <w:footnoteReference w:id="231"/>
      </w:r>
    </w:p>
    <w:p>
      <w:pPr>
        <w:pStyle w:val="ListBullet"/>
        <w:spacing w:after="60"/>
      </w:pPr>
      <w:r>
        <w:rPr>
          <w:b/>
        </w:rPr>
        <w:t>Stefania</w:t>
      </w:r>
      <w:r>
        <w:rPr/>
        <w:t xml:space="preserve"> (zm. 27 II 1977), żona Jana Podkolińskiego. Jej syn Wacław poległ w 1939 roku, syn Adam walczył w podziemiu i w powstaniu, a potem wyjechał do Brazylii. Córka Halina, po mężu Tymieniecka, zginęła w wypadku w 1986 roku.</w:t>
      </w:r>
    </w:p>
    <w:p>
      <w:pPr>
        <w:pStyle w:val="ListBullet"/>
        <w:spacing w:after="60"/>
      </w:pPr>
      <w:r>
        <w:rPr>
          <w:b/>
        </w:rPr>
        <w:t>Adam</w:t>
      </w:r>
      <w:r>
        <w:rPr/>
        <w:t xml:space="preserve">, adwokat, więzień Pawiaka i Oranienburga, który zginął 10 albo 18 grudnia 1944 roku w obozie </w:t>
      </w:r>
      <w:r>
        <w:rPr>
          <w:b/>
        </w:rPr>
        <w:t>Flossenbürg</w:t>
      </w:r>
      <w:r>
        <w:rPr/>
        <w:t>. Żona Renata z Krzyżanowskich herbu Dębno, pianistka (1901–1962), spoczywa na cmentarzu polskim w Montmorency, gdzie jest też inskrypcja ku pamięci Adama.</w:t>
      </w:r>
    </w:p>
    <w:p>
      <w:pPr>
        <w:pStyle w:val="ListBullet"/>
        <w:spacing w:after="60"/>
      </w:pPr>
      <w:r>
        <w:rPr>
          <w:b/>
        </w:rPr>
        <w:t>Mieczysław</w:t>
      </w:r>
      <w:r>
        <w:rPr/>
        <w:t xml:space="preserve"> (ur. 1902), adwokat, żołnierz AK i więzień Oświęcimia.</w:t>
      </w:r>
    </w:p>
    <w:p>
      <w:r>
        <w:rPr/>
        <w:t xml:space="preserve">Dalszą krewną była </w:t>
      </w:r>
      <w:r>
        <w:rPr>
          <w:b/>
        </w:rPr>
        <w:t>Wanda Grabińska-Woytowicz</w:t>
      </w:r>
      <w:r>
        <w:rPr/>
        <w:t xml:space="preserve"> (1902–1980), „pierwsza sędzia kobieta”, sędzia dla nieletnich i przedstawicielka Polski w Lidze Narodów. Zmarła w Nowym Jorku.</w:t>
      </w:r>
      <w:r>
        <w:rPr>
          <w:rStyle w:val="FootnoteReference"/>
        </w:rPr>
        <w:footnoteReference w:id="232"/>
      </w:r>
    </w:p>
    <w:p>
      <w:pPr>
        <w:pStyle w:val="Heading2"/>
      </w:pPr>
      <w:r>
        <w:rPr/>
        <w:t>13.4. Skrzyńscy herbu Zaremba i Łączyńscy herbu Nałęcz</w:t>
      </w:r>
    </w:p>
    <w:p>
      <w:r>
        <w:rPr/>
        <w:t xml:space="preserve">Skrzyńscy z </w:t>
      </w:r>
      <w:r>
        <w:rPr>
          <w:b/>
        </w:rPr>
        <w:t>Gostkowa i Nowej Wsi</w:t>
      </w:r>
      <w:r>
        <w:rPr/>
        <w:t xml:space="preserve"> w Łęczyckiem połączyli się z Radoszewskimi dwukrotnie. Pierwszy raz przez </w:t>
      </w:r>
      <w:r>
        <w:rPr>
          <w:b/>
        </w:rPr>
        <w:t>Józefę ze Skrzyńskich</w:t>
      </w:r>
      <w:r>
        <w:rPr/>
        <w:t xml:space="preserve">, żonę Franciszka (córkę Ludwika Skrzyńskiego i Domiceli z Dąbrowskich). Drugi raz przez </w:t>
      </w:r>
      <w:r>
        <w:rPr>
          <w:b/>
        </w:rPr>
        <w:t>Ludmiłę (Ludomirę) Skrzyńską</w:t>
      </w:r>
      <w:r>
        <w:rPr/>
        <w:t xml:space="preserve">, żonę Franciszka z Neru. Z Prządzyńskimi połączyli się przez </w:t>
      </w:r>
      <w:r>
        <w:rPr>
          <w:b/>
        </w:rPr>
        <w:t>Annę Skrzyńską</w:t>
      </w:r>
      <w:r>
        <w:rPr/>
        <w:t>, żonę Władysława.</w:t>
      </w:r>
      <w:r>
        <w:rPr>
          <w:rStyle w:val="FootnoteReference"/>
        </w:rPr>
        <w:footnoteReference w:id="233"/>
      </w:r>
      <w:r>
        <w:rPr/>
        <w:t xml:space="preserve"> Anna i Ludmiła były córkami </w:t>
      </w:r>
      <w:r>
        <w:rPr>
          <w:b/>
        </w:rPr>
        <w:t>Aleksandra Skrzyńskiego</w:t>
      </w:r>
      <w:r>
        <w:rPr/>
        <w:t xml:space="preserve"> i </w:t>
      </w:r>
      <w:r>
        <w:rPr>
          <w:b/>
        </w:rPr>
        <w:t>Walerii z Łączyńskich</w:t>
      </w:r>
      <w:r>
        <w:rPr/>
        <w:t xml:space="preserve"> (ślub w 1843 roku), pochowanych w kaplicy w Wartkowicach.</w:t>
      </w:r>
      <w:r>
        <w:rPr>
          <w:rStyle w:val="FootnoteReference"/>
        </w:rPr>
        <w:footnoteReference w:id="234"/>
      </w:r>
    </w:p>
    <w:p>
      <w:r>
        <w:rPr/>
        <w:t xml:space="preserve">Waleria była córką </w:t>
      </w:r>
      <w:r>
        <w:rPr>
          <w:b/>
        </w:rPr>
        <w:t>Teodora Łączyńskiego</w:t>
      </w:r>
      <w:r>
        <w:rPr/>
        <w:t xml:space="preserve"> (1785–1842) i wnuczką Macieja, dziedzica Kiernozi. Siostrą Teodora była </w:t>
      </w:r>
      <w:r>
        <w:rPr>
          <w:b/>
        </w:rPr>
        <w:t>Maria Walewska</w:t>
      </w:r>
      <w:r>
        <w:rPr/>
        <w:t xml:space="preserve"> (ur. 1786). Zeszyt Anny zaznacza: „Moja prababka była bratanicą p. Walewskiej”.</w:t>
      </w:r>
      <w:r>
        <w:rPr>
          <w:rStyle w:val="FootnoteReference"/>
        </w:rPr>
        <w:footnoteReference w:id="235"/>
      </w:r>
    </w:p>
    <w:p>
      <w:pPr>
        <w:pStyle w:val="Heading2"/>
      </w:pPr>
      <w:r>
        <w:rPr/>
        <w:t>13.5. Inne rodziny</w:t>
      </w:r>
    </w:p>
    <w:p>
      <w:pPr>
        <w:pStyle w:val="ListBullet"/>
        <w:spacing w:after="60"/>
      </w:pPr>
      <w:r>
        <w:rPr>
          <w:b/>
        </w:rPr>
        <w:t>Mierzyńscy herbu Jastrzębiec</w:t>
      </w:r>
      <w:r>
        <w:rPr/>
        <w:t xml:space="preserve"> z Węgrzy łączyli się z Radoszewskimi przez Marię z Radoszewskich Mierzyńską, a z Prządzyńskimi przez senatorową Salomeę. Ciocia Konstancja („Kotusia”) z Mierzyńskich Łącka, właścicielka Lipnicy koło Szamotuł, zapisała majątek siostrom urszulankom. W Lipnicy brała ślub prababcia Maria z Brandlów, a w latach 40. rodzina spędzała tam wakacje. Pochowano ją w Obrzycku[?], obok Jana Mierzyńskiego (1801–1880) oraz Rafała i Marcjanny Mierzyńskich.</w:t>
      </w:r>
      <w:r>
        <w:rPr>
          <w:rStyle w:val="FootnoteReference"/>
        </w:rPr>
        <w:footnoteReference w:id="236"/>
      </w:r>
    </w:p>
    <w:p>
      <w:pPr>
        <w:pStyle w:val="ListBullet"/>
        <w:spacing w:after="60"/>
      </w:pPr>
      <w:r>
        <w:rPr>
          <w:b/>
        </w:rPr>
        <w:t>Szeliscy</w:t>
      </w:r>
      <w:r>
        <w:rPr/>
        <w:t>: Michał Szeliski z Marzenina, ojciec Teofili, i jego rodzice Teodor oraz Tekla Zazarska[?].</w:t>
      </w:r>
      <w:r>
        <w:rPr>
          <w:rStyle w:val="FootnoteReference"/>
        </w:rPr>
        <w:footnoteReference w:id="237"/>
      </w:r>
    </w:p>
    <w:p>
      <w:pPr>
        <w:pStyle w:val="ListBullet"/>
        <w:spacing w:after="60"/>
      </w:pPr>
      <w:r>
        <w:rPr>
          <w:b/>
        </w:rPr>
        <w:t>Wierzchleyscy</w:t>
      </w:r>
      <w:r>
        <w:rPr/>
        <w:t>: Kunegunda, żona Rocha, oraz adwokat (Roman) Wierzchleyski, mąż Józefy z Radoszewskich.</w:t>
      </w:r>
      <w:r>
        <w:rPr>
          <w:rStyle w:val="FootnoteReference"/>
        </w:rPr>
        <w:footnoteReference w:id="238"/>
      </w:r>
    </w:p>
    <w:p>
      <w:pPr>
        <w:pStyle w:val="Heading1"/>
        <w:pageBreakBefore/>
      </w:pPr>
      <w:r>
        <w:rPr/>
        <w:t>14. Rodzina w latach II wojny światowej</w:t>
      </w:r>
    </w:p>
    <w:p>
      <w:r>
        <w:rPr/>
        <w:t>Zapiski rodzinne odnotowują wiele ofiar i strat wojennych:</w:t>
      </w:r>
      <w:r>
        <w:rPr>
          <w:rStyle w:val="FootnoteReference"/>
        </w:rPr>
        <w:footnoteReference w:id="239"/>
      </w:r>
    </w:p>
    <w:p>
      <w:pPr>
        <w:pStyle w:val="ListBullet"/>
        <w:spacing w:after="60"/>
      </w:pPr>
      <w:r>
        <w:rPr>
          <w:b/>
        </w:rPr>
        <w:t>Wysiedlenia:</w:t>
      </w:r>
      <w:r>
        <w:rPr/>
        <w:t xml:space="preserve"> Radoszewskich z Krempy (8 XII 1939, obóz w Bochni) i Prządzyńskich z Kościerzyna. Po powstaniu warszawskim Prządzyńskich osadzono w obozie w Pruszkowie, a Marię z Brandlów Grabińską wywieziono do Krakowa.</w:t>
      </w:r>
    </w:p>
    <w:p>
      <w:pPr>
        <w:pStyle w:val="ListBullet"/>
        <w:spacing w:after="60"/>
      </w:pPr>
      <w:r>
        <w:rPr>
          <w:b/>
        </w:rPr>
        <w:t>Zniszczone domy:</w:t>
      </w:r>
      <w:r>
        <w:rPr/>
        <w:t xml:space="preserve"> Koszykowa 11 (wrzesień 1939), front kamienicy przy Al. Jerozolimskich 37 (1939), Nowogrodzka 42 (1944) i kamienica Prządzyńskich w Poznaniu. Spłonęły też biblioteka w Krempie (5000 tomów) i archiwum w Kościerzynie.</w:t>
      </w:r>
    </w:p>
    <w:p>
      <w:pPr>
        <w:pStyle w:val="ListBullet"/>
        <w:spacing w:after="60"/>
      </w:pPr>
      <w:r>
        <w:rPr>
          <w:b/>
        </w:rPr>
        <w:t>Polegli i zamordowani:</w:t>
      </w:r>
    </w:p>
    <w:p>
      <w:pPr>
        <w:pStyle w:val="ListBullet2"/>
        <w:spacing w:after="60"/>
      </w:pPr>
      <w:r>
        <w:rPr/>
        <w:t>Wacław Podkoliński (1939);</w:t>
      </w:r>
    </w:p>
    <w:p>
      <w:pPr>
        <w:pStyle w:val="ListBullet2"/>
        <w:spacing w:after="60"/>
      </w:pPr>
      <w:r>
        <w:rPr/>
        <w:t>Paweł Radoszewski z Zatuskowa, zmarły w 1940 roku po wyjściu z obozu w Radogoszczy;</w:t>
      </w:r>
    </w:p>
    <w:p>
      <w:pPr>
        <w:pStyle w:val="ListBullet2"/>
        <w:spacing w:after="60"/>
      </w:pPr>
      <w:r>
        <w:rPr/>
        <w:t>Aleksander Skrzyński, zmarły po powrocie z obozu;</w:t>
      </w:r>
    </w:p>
    <w:p>
      <w:pPr>
        <w:pStyle w:val="ListBullet2"/>
        <w:spacing w:after="60"/>
      </w:pPr>
      <w:r>
        <w:rPr/>
        <w:t>Ludomir i Janina Wyleżyńscy[?];</w:t>
      </w:r>
    </w:p>
    <w:p>
      <w:pPr>
        <w:pStyle w:val="ListBullet2"/>
        <w:spacing w:after="60"/>
      </w:pPr>
      <w:r>
        <w:rPr/>
        <w:t>Ludka Erbrych, poległa w powstaniu warszawskim;</w:t>
      </w:r>
    </w:p>
    <w:p>
      <w:pPr>
        <w:pStyle w:val="ListBullet2"/>
        <w:spacing w:after="60"/>
      </w:pPr>
      <w:r>
        <w:rPr/>
        <w:t>Adam Grabiński, zamordowany we Flossenbürgu w 1944 roku;</w:t>
      </w:r>
    </w:p>
    <w:p>
      <w:pPr>
        <w:pStyle w:val="ListBullet2"/>
        <w:spacing w:after="60"/>
      </w:pPr>
      <w:r>
        <w:rPr/>
        <w:t>Jan Drohojowski, zmarły w Borowiczach w 1945 roku.</w:t>
      </w:r>
    </w:p>
    <w:p>
      <w:pPr>
        <w:pStyle w:val="ListBullet"/>
        <w:spacing w:after="60"/>
      </w:pPr>
      <w:r>
        <w:rPr>
          <w:b/>
        </w:rPr>
        <w:t>Kaplica Radoszewskich w Wieluniu</w:t>
      </w:r>
      <w:r>
        <w:rPr/>
        <w:t xml:space="preserve"> została zbombardowana we wrześniu 1939 roku i rozebrana przez Niemców.</w:t>
      </w:r>
      <w:r>
        <w:rPr>
          <w:rStyle w:val="FootnoteReference"/>
        </w:rPr>
        <w:footnoteReference w:id="240"/>
      </w:r>
    </w:p>
    <w:p>
      <w:pPr>
        <w:pStyle w:val="Heading1"/>
        <w:pageBreakBefore/>
      </w:pPr>
      <w:r>
        <w:rPr/>
        <w:t>15. Domy, majątki i miejsca pamięci</w:t>
      </w:r>
    </w:p>
    <w:p>
      <w:pPr>
        <w:pStyle w:val="Heading2"/>
      </w:pPr>
      <w:r>
        <w:rPr/>
        <w:t>Gdzie mieszkała rodzina</w:t>
      </w:r>
    </w:p>
    <w:p>
      <w:r>
        <w:rPr/>
        <w:t>Księga rodzinna streszcza wędrówkę rodu w dwóch zdaniach:</w:t>
      </w:r>
    </w:p>
    <w:p>
      <w:pPr>
        <w:pStyle w:val="Quote"/>
      </w:pPr>
      <w:r>
        <w:rPr/>
        <w:t>„Radoszewice i Siemkowice k/Wielunia od XII w. Po rozbiorach Polski Śmiechów, Krempa, Dominikowice między Poddębicami a Uniejowem do II wojny światowej. Potem W-wa Wilcza 65, Nowogrodzka 42, Milanówek i Brwinów”.</w:t>
      </w:r>
      <w:r>
        <w:rPr>
          <w:rStyle w:val="FootnoteReference"/>
        </w:rPr>
        <w:footnoteReference w:id="241"/>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3099"/>
            <w:shd w:val="clear" w:fill="EFE8DC"/>
          </w:tcPr>
          <w:p>
            <w:pPr>
              <w:spacing w:after="0" w:line="240" w:lineRule="auto"/>
            </w:pPr>
            <w:r>
              <w:rPr>
                <w:b/>
                <w:sz w:val="18"/>
              </w:rPr>
              <w:t>Miejsce</w:t>
            </w:r>
          </w:p>
        </w:tc>
        <w:tc>
          <w:tcPr>
            <w:tcW w:type="dxa" w:w="3099"/>
            <w:shd w:val="clear" w:fill="EFE8DC"/>
          </w:tcPr>
          <w:p>
            <w:pPr>
              <w:spacing w:after="0" w:line="240" w:lineRule="auto"/>
            </w:pPr>
            <w:r>
              <w:rPr>
                <w:b/>
                <w:sz w:val="18"/>
              </w:rPr>
              <w:t>Związek z rodziną</w:t>
            </w:r>
          </w:p>
        </w:tc>
        <w:tc>
          <w:tcPr>
            <w:tcW w:type="dxa" w:w="3099"/>
            <w:shd w:val="clear" w:fill="EFE8DC"/>
          </w:tcPr>
          <w:p>
            <w:pPr>
              <w:spacing w:after="0" w:line="240" w:lineRule="auto"/>
            </w:pPr>
            <w:r>
              <w:rPr>
                <w:b/>
                <w:sz w:val="18"/>
              </w:rPr>
              <w:t>Okres</w:t>
            </w:r>
          </w:p>
        </w:tc>
      </w:tr>
      <w:tr>
        <w:tc>
          <w:tcPr>
            <w:tcW w:type="dxa" w:w="3099"/>
          </w:tcPr>
          <w:p>
            <w:pPr>
              <w:spacing w:after="0" w:line="240" w:lineRule="auto"/>
            </w:pPr>
            <w:r>
              <w:rPr>
                <w:b/>
                <w:sz w:val="18"/>
              </w:rPr>
              <w:t>Siemkowice</w:t>
            </w:r>
            <w:r>
              <w:rPr>
                <w:sz w:val="18"/>
              </w:rPr>
              <w:t xml:space="preserve"> (gm. Siemkowice, pow. pajęczański)</w:t>
            </w:r>
          </w:p>
        </w:tc>
        <w:tc>
          <w:tcPr>
            <w:tcW w:type="dxa" w:w="3099"/>
          </w:tcPr>
          <w:p>
            <w:pPr>
              <w:spacing w:after="0" w:line="240" w:lineRule="auto"/>
            </w:pPr>
            <w:r>
              <w:rPr>
                <w:sz w:val="18"/>
              </w:rPr>
              <w:t>gniazdo rodu; kopiec w łąkach, potem „kamieniec” i renesansowy „zameczek” Siemkowskich</w:t>
            </w:r>
          </w:p>
        </w:tc>
        <w:tc>
          <w:tcPr>
            <w:tcW w:type="dxa" w:w="3099"/>
          </w:tcPr>
          <w:p>
            <w:pPr>
              <w:spacing w:after="0" w:line="240" w:lineRule="auto"/>
            </w:pPr>
            <w:r>
              <w:rPr>
                <w:sz w:val="18"/>
              </w:rPr>
              <w:t>do ok. 1440 wspólne; Siemkowscy do końca XVII w.</w:t>
            </w:r>
          </w:p>
        </w:tc>
      </w:tr>
      <w:tr>
        <w:tc>
          <w:tcPr>
            <w:tcW w:type="dxa" w:w="3099"/>
          </w:tcPr>
          <w:p>
            <w:pPr>
              <w:spacing w:after="0" w:line="240" w:lineRule="auto"/>
            </w:pPr>
            <w:r>
              <w:rPr>
                <w:b/>
                <w:sz w:val="18"/>
              </w:rPr>
              <w:t>Radoszewice</w:t>
            </w:r>
            <w:r>
              <w:rPr>
                <w:sz w:val="18"/>
              </w:rPr>
              <w:t xml:space="preserve"> (gm. Siemkowice)</w:t>
            </w:r>
          </w:p>
        </w:tc>
        <w:tc>
          <w:tcPr>
            <w:tcW w:type="dxa" w:w="3099"/>
          </w:tcPr>
          <w:p>
            <w:pPr>
              <w:spacing w:after="0" w:line="240" w:lineRule="auto"/>
            </w:pPr>
            <w:r>
              <w:rPr>
                <w:sz w:val="18"/>
              </w:rPr>
              <w:t>siedziba linii Radoszewskich; dwór „z przykopem”, dwór z 1679 r.; kościół z 1625 r.</w:t>
            </w:r>
          </w:p>
        </w:tc>
        <w:tc>
          <w:tcPr>
            <w:tcW w:type="dxa" w:w="3099"/>
          </w:tcPr>
          <w:p>
            <w:pPr>
              <w:spacing w:after="0" w:line="240" w:lineRule="auto"/>
            </w:pPr>
            <w:r>
              <w:rPr>
                <w:sz w:val="18"/>
              </w:rPr>
              <w:t>ok. 1440 – ok. 1775</w:t>
            </w:r>
          </w:p>
        </w:tc>
      </w:tr>
      <w:tr>
        <w:tc>
          <w:tcPr>
            <w:tcW w:type="dxa" w:w="3099"/>
          </w:tcPr>
          <w:p>
            <w:pPr>
              <w:spacing w:after="0" w:line="240" w:lineRule="auto"/>
            </w:pPr>
            <w:r>
              <w:rPr>
                <w:b/>
                <w:sz w:val="18"/>
              </w:rPr>
              <w:t>Wieluń</w:t>
            </w:r>
            <w:r>
              <w:rPr>
                <w:sz w:val="18"/>
              </w:rPr>
              <w:t>, kolegiata</w:t>
            </w:r>
          </w:p>
        </w:tc>
        <w:tc>
          <w:tcPr>
            <w:tcW w:type="dxa" w:w="3099"/>
          </w:tcPr>
          <w:p>
            <w:pPr>
              <w:spacing w:after="0" w:line="240" w:lineRule="auto"/>
            </w:pPr>
            <w:r>
              <w:rPr>
                <w:sz w:val="18"/>
              </w:rPr>
              <w:t>kaplica Radoszewskich z nagrobkami Jerzego, Andrzeja i Marka</w:t>
            </w:r>
          </w:p>
        </w:tc>
        <w:tc>
          <w:tcPr>
            <w:tcW w:type="dxa" w:w="3099"/>
          </w:tcPr>
          <w:p>
            <w:pPr>
              <w:spacing w:after="0" w:line="240" w:lineRule="auto"/>
            </w:pPr>
            <w:r>
              <w:rPr>
                <w:sz w:val="18"/>
              </w:rPr>
              <w:t>1. poł. XVII w. – 1939</w:t>
            </w:r>
          </w:p>
        </w:tc>
      </w:tr>
      <w:tr>
        <w:tc>
          <w:tcPr>
            <w:tcW w:type="dxa" w:w="3099"/>
          </w:tcPr>
          <w:p>
            <w:pPr>
              <w:spacing w:after="0" w:line="240" w:lineRule="auto"/>
            </w:pPr>
            <w:r>
              <w:rPr>
                <w:b/>
                <w:sz w:val="18"/>
              </w:rPr>
              <w:t>Krempa, Śmiechów, Dominikowice, Krajkowice</w:t>
            </w:r>
            <w:r>
              <w:rPr>
                <w:sz w:val="18"/>
              </w:rPr>
              <w:t xml:space="preserve"> (k. Poddębic)</w:t>
            </w:r>
          </w:p>
        </w:tc>
        <w:tc>
          <w:tcPr>
            <w:tcW w:type="dxa" w:w="3099"/>
          </w:tcPr>
          <w:p>
            <w:pPr>
              <w:spacing w:after="0" w:line="240" w:lineRule="auto"/>
            </w:pPr>
            <w:r>
              <w:rPr>
                <w:sz w:val="18"/>
              </w:rPr>
              <w:t>klucz krempski; dwór Józefata z ok. 1860 r.</w:t>
            </w:r>
          </w:p>
        </w:tc>
        <w:tc>
          <w:tcPr>
            <w:tcW w:type="dxa" w:w="3099"/>
          </w:tcPr>
          <w:p>
            <w:pPr>
              <w:spacing w:after="0" w:line="240" w:lineRule="auto"/>
            </w:pPr>
            <w:r>
              <w:rPr>
                <w:sz w:val="18"/>
              </w:rPr>
              <w:t>ok. 1775 – 1939 (Dominikowice sprzedane w 1914)</w:t>
            </w:r>
          </w:p>
        </w:tc>
      </w:tr>
      <w:tr>
        <w:tc>
          <w:tcPr>
            <w:tcW w:type="dxa" w:w="3099"/>
          </w:tcPr>
          <w:p>
            <w:pPr>
              <w:spacing w:after="0" w:line="240" w:lineRule="auto"/>
            </w:pPr>
            <w:r>
              <w:rPr>
                <w:b/>
                <w:sz w:val="18"/>
              </w:rPr>
              <w:t>Uniejów</w:t>
            </w:r>
            <w:r>
              <w:rPr>
                <w:sz w:val="18"/>
              </w:rPr>
              <w:t>, cmentarz</w:t>
            </w:r>
          </w:p>
        </w:tc>
        <w:tc>
          <w:tcPr>
            <w:tcW w:type="dxa" w:w="3099"/>
          </w:tcPr>
          <w:p>
            <w:pPr>
              <w:spacing w:after="0" w:line="240" w:lineRule="auto"/>
            </w:pPr>
            <w:r>
              <w:rPr>
                <w:sz w:val="18"/>
              </w:rPr>
              <w:t>kaplica grobowa Boxa Radoszewskich z 1880 r.</w:t>
            </w:r>
          </w:p>
        </w:tc>
        <w:tc>
          <w:tcPr>
            <w:tcW w:type="dxa" w:w="3099"/>
          </w:tcPr>
          <w:p>
            <w:pPr>
              <w:spacing w:after="0" w:line="240" w:lineRule="auto"/>
            </w:pPr>
            <w:r>
              <w:rPr>
                <w:sz w:val="18"/>
              </w:rPr>
              <w:t>od 1880</w:t>
            </w:r>
          </w:p>
        </w:tc>
      </w:tr>
      <w:tr>
        <w:tc>
          <w:tcPr>
            <w:tcW w:type="dxa" w:w="3099"/>
          </w:tcPr>
          <w:p>
            <w:pPr>
              <w:spacing w:after="0" w:line="240" w:lineRule="auto"/>
            </w:pPr>
            <w:r>
              <w:rPr>
                <w:b/>
                <w:sz w:val="18"/>
              </w:rPr>
              <w:t>Ner, Zatusków, Wartkowice</w:t>
            </w:r>
          </w:p>
        </w:tc>
        <w:tc>
          <w:tcPr>
            <w:tcW w:type="dxa" w:w="3099"/>
          </w:tcPr>
          <w:p>
            <w:pPr>
              <w:spacing w:after="0" w:line="240" w:lineRule="auto"/>
            </w:pPr>
            <w:r>
              <w:rPr>
                <w:sz w:val="18"/>
              </w:rPr>
              <w:t>Radoszewscy z Neru; kaplica w Wartkowicach</w:t>
            </w:r>
          </w:p>
        </w:tc>
        <w:tc>
          <w:tcPr>
            <w:tcW w:type="dxa" w:w="3099"/>
          </w:tcPr>
          <w:p>
            <w:pPr>
              <w:spacing w:after="0" w:line="240" w:lineRule="auto"/>
            </w:pPr>
            <w:r>
              <w:rPr>
                <w:sz w:val="18"/>
              </w:rPr>
              <w:t>XIX–XX w.</w:t>
            </w:r>
          </w:p>
        </w:tc>
      </w:tr>
      <w:tr>
        <w:tc>
          <w:tcPr>
            <w:tcW w:type="dxa" w:w="3099"/>
          </w:tcPr>
          <w:p>
            <w:pPr>
              <w:spacing w:after="0" w:line="240" w:lineRule="auto"/>
            </w:pPr>
            <w:r>
              <w:rPr>
                <w:b/>
                <w:sz w:val="18"/>
              </w:rPr>
              <w:t>Opatówek</w:t>
            </w:r>
            <w:r>
              <w:rPr>
                <w:sz w:val="18"/>
              </w:rPr>
              <w:t xml:space="preserve"> k. Kalisza</w:t>
            </w:r>
          </w:p>
        </w:tc>
        <w:tc>
          <w:tcPr>
            <w:tcW w:type="dxa" w:w="3099"/>
          </w:tcPr>
          <w:p>
            <w:pPr>
              <w:spacing w:after="0" w:line="240" w:lineRule="auto"/>
            </w:pPr>
            <w:r>
              <w:rPr>
                <w:sz w:val="18"/>
              </w:rPr>
              <w:t>Józef Radoszewski i Aleksandra z Zajączków</w:t>
            </w:r>
          </w:p>
        </w:tc>
        <w:tc>
          <w:tcPr>
            <w:tcW w:type="dxa" w:w="3099"/>
          </w:tcPr>
          <w:p>
            <w:pPr>
              <w:spacing w:after="0" w:line="240" w:lineRule="auto"/>
            </w:pPr>
            <w:r>
              <w:rPr>
                <w:sz w:val="18"/>
              </w:rPr>
              <w:t>1. poł. XIX w.</w:t>
            </w:r>
          </w:p>
        </w:tc>
      </w:tr>
      <w:tr>
        <w:tc>
          <w:tcPr>
            <w:tcW w:type="dxa" w:w="3099"/>
          </w:tcPr>
          <w:p>
            <w:pPr>
              <w:spacing w:after="0" w:line="240" w:lineRule="auto"/>
            </w:pPr>
            <w:r>
              <w:rPr>
                <w:b/>
                <w:sz w:val="18"/>
              </w:rPr>
              <w:t>Kościerzyn</w:t>
            </w:r>
            <w:r>
              <w:rPr>
                <w:sz w:val="18"/>
              </w:rPr>
              <w:t xml:space="preserve"> (gm. Wróblew)</w:t>
            </w:r>
          </w:p>
        </w:tc>
        <w:tc>
          <w:tcPr>
            <w:tcW w:type="dxa" w:w="3099"/>
          </w:tcPr>
          <w:p>
            <w:pPr>
              <w:spacing w:after="0" w:line="240" w:lineRule="auto"/>
            </w:pPr>
            <w:r>
              <w:rPr>
                <w:sz w:val="18"/>
              </w:rPr>
              <w:t>Prządzyńscy; dwór z ok. 1915 r.</w:t>
            </w:r>
          </w:p>
        </w:tc>
        <w:tc>
          <w:tcPr>
            <w:tcW w:type="dxa" w:w="3099"/>
          </w:tcPr>
          <w:p>
            <w:pPr>
              <w:spacing w:after="0" w:line="240" w:lineRule="auto"/>
            </w:pPr>
            <w:r>
              <w:rPr>
                <w:sz w:val="18"/>
              </w:rPr>
              <w:t>ok. 1890 – 1939</w:t>
            </w:r>
          </w:p>
        </w:tc>
      </w:tr>
      <w:tr>
        <w:tc>
          <w:tcPr>
            <w:tcW w:type="dxa" w:w="3099"/>
          </w:tcPr>
          <w:p>
            <w:pPr>
              <w:spacing w:after="0" w:line="240" w:lineRule="auto"/>
            </w:pPr>
            <w:r>
              <w:rPr>
                <w:b/>
                <w:sz w:val="18"/>
              </w:rPr>
              <w:t>Leźnica Wielka</w:t>
            </w:r>
            <w:r>
              <w:rPr>
                <w:sz w:val="18"/>
              </w:rPr>
              <w:t xml:space="preserve"> k. Łęczycy</w:t>
            </w:r>
          </w:p>
        </w:tc>
        <w:tc>
          <w:tcPr>
            <w:tcW w:type="dxa" w:w="3099"/>
          </w:tcPr>
          <w:p>
            <w:pPr>
              <w:spacing w:after="0" w:line="240" w:lineRule="auto"/>
            </w:pPr>
            <w:r>
              <w:rPr>
                <w:sz w:val="18"/>
              </w:rPr>
              <w:t>Prządzyńscy; kaplica rodowa</w:t>
            </w:r>
          </w:p>
        </w:tc>
        <w:tc>
          <w:tcPr>
            <w:tcW w:type="dxa" w:w="3099"/>
          </w:tcPr>
          <w:p>
            <w:pPr>
              <w:spacing w:after="0" w:line="240" w:lineRule="auto"/>
            </w:pPr>
            <w:r>
              <w:rPr>
                <w:sz w:val="18"/>
              </w:rPr>
              <w:t>XIX w.</w:t>
            </w:r>
          </w:p>
        </w:tc>
      </w:tr>
      <w:tr>
        <w:tc>
          <w:tcPr>
            <w:tcW w:type="dxa" w:w="3099"/>
          </w:tcPr>
          <w:p>
            <w:pPr>
              <w:spacing w:after="0" w:line="240" w:lineRule="auto"/>
            </w:pPr>
            <w:r>
              <w:rPr>
                <w:b/>
                <w:sz w:val="18"/>
              </w:rPr>
              <w:t>Ciszecin Wielki</w:t>
            </w:r>
            <w:r>
              <w:rPr>
                <w:sz w:val="18"/>
              </w:rPr>
              <w:t xml:space="preserve"> k. Jarosławia, </w:t>
            </w:r>
            <w:r>
              <w:rPr>
                <w:b/>
                <w:sz w:val="18"/>
              </w:rPr>
              <w:t>Piotrkowice</w:t>
            </w:r>
            <w:r>
              <w:rPr>
                <w:sz w:val="18"/>
              </w:rPr>
              <w:t xml:space="preserve"> k. Kowla</w:t>
            </w:r>
          </w:p>
        </w:tc>
        <w:tc>
          <w:tcPr>
            <w:tcW w:type="dxa" w:w="3099"/>
          </w:tcPr>
          <w:p>
            <w:pPr>
              <w:spacing w:after="0" w:line="240" w:lineRule="auto"/>
            </w:pPr>
            <w:r>
              <w:rPr>
                <w:sz w:val="18"/>
              </w:rPr>
              <w:t>Drohojowscy</w:t>
            </w:r>
          </w:p>
        </w:tc>
        <w:tc>
          <w:tcPr>
            <w:tcW w:type="dxa" w:w="3099"/>
          </w:tcPr>
          <w:p>
            <w:pPr>
              <w:spacing w:after="0" w:line="240" w:lineRule="auto"/>
            </w:pPr>
            <w:r>
              <w:rPr>
                <w:sz w:val="18"/>
              </w:rPr>
              <w:t>do 1933 (Piotrkowice), do II wojny (Ciszecin)</w:t>
            </w:r>
          </w:p>
        </w:tc>
      </w:tr>
      <w:tr>
        <w:tc>
          <w:tcPr>
            <w:tcW w:type="dxa" w:w="3099"/>
          </w:tcPr>
          <w:p>
            <w:pPr>
              <w:spacing w:after="0" w:line="240" w:lineRule="auto"/>
            </w:pPr>
            <w:r>
              <w:rPr>
                <w:b/>
                <w:sz w:val="18"/>
              </w:rPr>
              <w:t>Warszawa</w:t>
            </w:r>
          </w:p>
        </w:tc>
        <w:tc>
          <w:tcPr>
            <w:tcW w:type="dxa" w:w="3099"/>
          </w:tcPr>
          <w:p>
            <w:pPr>
              <w:spacing w:after="0" w:line="240" w:lineRule="auto"/>
            </w:pPr>
            <w:r>
              <w:rPr>
                <w:sz w:val="18"/>
              </w:rPr>
              <w:t>Marszałkowska 59 (Jerzy), Wilcza 65 (Anna), Koszykowa 11, Nowogrodzka 10 (Mierzyńscy), Nowogrodzka 42 (Prządzyńscy), Al. Jerozolimskie 37 (Grabińscy), Narbutta 60, Wawer ul. Błękitna</w:t>
            </w:r>
          </w:p>
        </w:tc>
        <w:tc>
          <w:tcPr>
            <w:tcW w:type="dxa" w:w="3099"/>
          </w:tcPr>
          <w:p>
            <w:pPr>
              <w:spacing w:after="0" w:line="240" w:lineRule="auto"/>
            </w:pPr>
            <w:r>
              <w:rPr>
                <w:sz w:val="18"/>
              </w:rPr>
              <w:t>XX w.</w:t>
            </w:r>
          </w:p>
        </w:tc>
      </w:tr>
      <w:tr>
        <w:tc>
          <w:tcPr>
            <w:tcW w:type="dxa" w:w="3099"/>
          </w:tcPr>
          <w:p>
            <w:pPr>
              <w:spacing w:after="0" w:line="240" w:lineRule="auto"/>
            </w:pPr>
            <w:r>
              <w:rPr>
                <w:b/>
                <w:sz w:val="18"/>
              </w:rPr>
              <w:t>Piotrków, Milanówek, Brwinów</w:t>
            </w:r>
          </w:p>
        </w:tc>
        <w:tc>
          <w:tcPr>
            <w:tcW w:type="dxa" w:w="3099"/>
          </w:tcPr>
          <w:p>
            <w:pPr>
              <w:spacing w:after="0" w:line="240" w:lineRule="auto"/>
            </w:pPr>
            <w:r>
              <w:rPr>
                <w:sz w:val="18"/>
              </w:rPr>
              <w:t>domy rodziny po 1945 r. (Brwinów od 1962)</w:t>
            </w:r>
          </w:p>
        </w:tc>
        <w:tc>
          <w:tcPr>
            <w:tcW w:type="dxa" w:w="3099"/>
          </w:tcPr>
          <w:p>
            <w:pPr>
              <w:spacing w:after="0" w:line="240" w:lineRule="auto"/>
            </w:pPr>
            <w:r>
              <w:rPr>
                <w:sz w:val="18"/>
              </w:rPr>
              <w:t>od 1945</w:t>
            </w:r>
          </w:p>
        </w:tc>
      </w:tr>
    </w:tbl>
    <w:p>
      <w:pPr>
        <w:spacing w:after="40"/>
      </w:pPr>
    </w:p>
    <w:p>
      <w:r>
        <w:rPr/>
        <w:t>Źródła podają też numery hipotek warszawskich nieruchomości oraz ich powierzchnie.</w:t>
      </w:r>
      <w:r>
        <w:rPr>
          <w:rStyle w:val="FootnoteReference"/>
        </w:rPr>
        <w:footnoteReference w:id="242"/>
      </w:r>
    </w:p>
    <w:p>
      <w:r>
        <w:rPr/>
        <w:t>Kajzer podsumował los dworów: Krempa została „całkowicie zniszczona”, a dwór w Kościerzynie przetrwał jako ośrodek szkolenia rolników.</w:t>
      </w:r>
      <w:r>
        <w:rPr>
          <w:rStyle w:val="FootnoteReference"/>
        </w:rPr>
        <w:footnoteReference w:id="243"/>
      </w:r>
      <w:r>
        <w:rPr/>
        <w:t xml:space="preserve"> W Radoszewicach w dworze Niemojowskich jeszcze około 1991 roku mieściła się szkoła podstawowa, choć budynek był w złym stanie.</w:t>
      </w:r>
      <w:r>
        <w:rPr>
          <w:rStyle w:val="FootnoteReference"/>
        </w:rPr>
        <w:footnoteReference w:id="244"/>
      </w:r>
      <w:r>
        <w:rPr/>
        <w:t xml:space="preserve"> W Siemkowicach dwór Karśnickich spalili Niemcy w styczniu 1945 roku, a w latach 1951–1953 go wyremontowano.</w:t>
      </w:r>
      <w:r>
        <w:rPr>
          <w:rStyle w:val="FootnoteReference"/>
        </w:rPr>
        <w:footnoteReference w:id="245"/>
      </w:r>
    </w:p>
    <w:p>
      <w:pPr>
        <w:pStyle w:val="Heading2"/>
      </w:pPr>
      <w:r>
        <w:rPr/>
        <w:t>Groby rodzinne</w:t>
      </w:r>
    </w:p>
    <w:p>
      <w:r>
        <w:rPr/>
        <w:t>Zapiski rodzinne starannie wyliczają groby. Poniżej najważniejsze z nich:</w:t>
      </w:r>
      <w:r>
        <w:rPr>
          <w:rStyle w:val="FootnoteReference"/>
        </w:rPr>
        <w:footnoteReference w:id="246"/>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649"/>
            <w:shd w:val="clear" w:fill="EFE8DC"/>
          </w:tcPr>
          <w:p>
            <w:pPr>
              <w:spacing w:after="0" w:line="240" w:lineRule="auto"/>
            </w:pPr>
            <w:r>
              <w:rPr>
                <w:b/>
                <w:sz w:val="18"/>
              </w:rPr>
              <w:t>Miejsce</w:t>
            </w:r>
          </w:p>
        </w:tc>
        <w:tc>
          <w:tcPr>
            <w:tcW w:type="dxa" w:w="4649"/>
            <w:shd w:val="clear" w:fill="EFE8DC"/>
          </w:tcPr>
          <w:p>
            <w:pPr>
              <w:spacing w:after="0" w:line="240" w:lineRule="auto"/>
            </w:pPr>
            <w:r>
              <w:rPr>
                <w:b/>
                <w:sz w:val="18"/>
              </w:rPr>
              <w:t>Kto spoczywa</w:t>
            </w:r>
          </w:p>
        </w:tc>
      </w:tr>
      <w:tr>
        <w:tc>
          <w:tcPr>
            <w:tcW w:type="dxa" w:w="4649"/>
          </w:tcPr>
          <w:p>
            <w:pPr>
              <w:spacing w:after="0" w:line="240" w:lineRule="auto"/>
            </w:pPr>
            <w:r>
              <w:rPr>
                <w:b/>
                <w:sz w:val="18"/>
              </w:rPr>
              <w:t>Uniejów</w:t>
            </w:r>
            <w:r>
              <w:rPr>
                <w:sz w:val="18"/>
              </w:rPr>
              <w:t>, kaplica Boxa Radoszewskich</w:t>
            </w:r>
          </w:p>
        </w:tc>
        <w:tc>
          <w:tcPr>
            <w:tcW w:type="dxa" w:w="4649"/>
          </w:tcPr>
          <w:p>
            <w:pPr>
              <w:spacing w:after="0" w:line="240" w:lineRule="auto"/>
            </w:pPr>
            <w:r>
              <w:rPr>
                <w:sz w:val="18"/>
              </w:rPr>
              <w:t>Roch, Kunegunda, Józef z Dominikowic, Henryk, Michał Szeliski, Henryś, Antoni Szumowski, Józefat, Teofila (zob. rozdz. 8)</w:t>
            </w:r>
          </w:p>
        </w:tc>
      </w:tr>
      <w:tr>
        <w:tc>
          <w:tcPr>
            <w:tcW w:type="dxa" w:w="4649"/>
          </w:tcPr>
          <w:p>
            <w:pPr>
              <w:spacing w:after="0" w:line="240" w:lineRule="auto"/>
            </w:pPr>
            <w:r>
              <w:rPr>
                <w:b/>
                <w:sz w:val="18"/>
              </w:rPr>
              <w:t>Warszawa, Powązki</w:t>
            </w:r>
            <w:r>
              <w:rPr>
                <w:sz w:val="18"/>
              </w:rPr>
              <w:t>, kw. 157, rz. 6, grób 12/13 (w zeszycie: grób 1)</w:t>
            </w:r>
          </w:p>
        </w:tc>
        <w:tc>
          <w:tcPr>
            <w:tcW w:type="dxa" w:w="4649"/>
          </w:tcPr>
          <w:p>
            <w:pPr>
              <w:spacing w:after="0" w:line="240" w:lineRule="auto"/>
            </w:pPr>
            <w:r>
              <w:rPr>
                <w:sz w:val="18"/>
              </w:rPr>
              <w:t>Albin (†1871), Franciszek (†1846), Józefa ze Skrzyńskich (†1856), Michał (†1942), Ewa z Drohojowskich (†1955), Jerzy (†1967), Jadwiga z Wesslów (†1929), Józefa z Radoszewskich Wierzchleyska (†1933), Ludwika (†1875), Aleksander (†1891), Paweł z Zatuskowa (†1940, bez tablicy); później Teresa Radoszewska-Zielińska (†1996) i Anna z Prządzyńskich (†1999)</w:t>
            </w:r>
          </w:p>
        </w:tc>
      </w:tr>
      <w:tr>
        <w:tc>
          <w:tcPr>
            <w:tcW w:type="dxa" w:w="4649"/>
          </w:tcPr>
          <w:p>
            <w:pPr>
              <w:spacing w:after="0" w:line="240" w:lineRule="auto"/>
            </w:pPr>
            <w:r>
              <w:rPr>
                <w:sz w:val="18"/>
              </w:rPr>
              <w:t>Powązki, kw. 162, rz. 4, grób 29/30</w:t>
            </w:r>
          </w:p>
        </w:tc>
        <w:tc>
          <w:tcPr>
            <w:tcW w:type="dxa" w:w="4649"/>
          </w:tcPr>
          <w:p>
            <w:pPr>
              <w:spacing w:after="0" w:line="240" w:lineRule="auto"/>
            </w:pPr>
            <w:r>
              <w:rPr>
                <w:sz w:val="18"/>
              </w:rPr>
              <w:t>Grabińscy: Edward, Maria z Brandlów, Adam (grób symboliczny), Władysław, Zofia; Leokadia Brandel; Stanisław i Stanisława Prządzyńscy</w:t>
            </w:r>
          </w:p>
        </w:tc>
      </w:tr>
      <w:tr>
        <w:tc>
          <w:tcPr>
            <w:tcW w:type="dxa" w:w="4649"/>
          </w:tcPr>
          <w:p>
            <w:pPr>
              <w:spacing w:after="0" w:line="240" w:lineRule="auto"/>
            </w:pPr>
            <w:r>
              <w:rPr>
                <w:sz w:val="18"/>
              </w:rPr>
              <w:t>Powązki, kw. 178, rz. 5, grób 27</w:t>
            </w:r>
          </w:p>
        </w:tc>
        <w:tc>
          <w:tcPr>
            <w:tcW w:type="dxa" w:w="4649"/>
          </w:tcPr>
          <w:p>
            <w:pPr>
              <w:spacing w:after="0" w:line="240" w:lineRule="auto"/>
            </w:pPr>
            <w:r>
              <w:rPr>
                <w:sz w:val="18"/>
              </w:rPr>
              <w:t>generałowa Emilia Prządzyńska, Sylwia Prządzyńska</w:t>
            </w:r>
          </w:p>
        </w:tc>
      </w:tr>
      <w:tr>
        <w:tc>
          <w:tcPr>
            <w:tcW w:type="dxa" w:w="4649"/>
          </w:tcPr>
          <w:p>
            <w:pPr>
              <w:spacing w:after="0" w:line="240" w:lineRule="auto"/>
            </w:pPr>
            <w:r>
              <w:rPr>
                <w:sz w:val="18"/>
              </w:rPr>
              <w:t>Powązki, kw. 6, rz. 6, grób 12</w:t>
            </w:r>
          </w:p>
        </w:tc>
        <w:tc>
          <w:tcPr>
            <w:tcW w:type="dxa" w:w="4649"/>
          </w:tcPr>
          <w:p>
            <w:pPr>
              <w:spacing w:after="0" w:line="240" w:lineRule="auto"/>
            </w:pPr>
            <w:r>
              <w:rPr>
                <w:sz w:val="18"/>
              </w:rPr>
              <w:t>Andrzej Prządzyński (†1981) i Józef Prządzyński</w:t>
            </w:r>
          </w:p>
        </w:tc>
      </w:tr>
      <w:tr>
        <w:tc>
          <w:tcPr>
            <w:tcW w:type="dxa" w:w="4649"/>
          </w:tcPr>
          <w:p>
            <w:pPr>
              <w:spacing w:after="0" w:line="240" w:lineRule="auto"/>
            </w:pPr>
            <w:r>
              <w:rPr>
                <w:sz w:val="18"/>
              </w:rPr>
              <w:t>Powązki, kw. 239</w:t>
            </w:r>
          </w:p>
        </w:tc>
        <w:tc>
          <w:tcPr>
            <w:tcW w:type="dxa" w:w="4649"/>
          </w:tcPr>
          <w:p>
            <w:pPr>
              <w:spacing w:after="0" w:line="240" w:lineRule="auto"/>
            </w:pPr>
            <w:r>
              <w:rPr>
                <w:sz w:val="18"/>
              </w:rPr>
              <w:t>Stefania z Grabińskich Podkolińska</w:t>
            </w:r>
          </w:p>
        </w:tc>
      </w:tr>
      <w:tr>
        <w:tc>
          <w:tcPr>
            <w:tcW w:type="dxa" w:w="4649"/>
          </w:tcPr>
          <w:p>
            <w:pPr>
              <w:spacing w:after="0" w:line="240" w:lineRule="auto"/>
            </w:pPr>
            <w:r>
              <w:rPr>
                <w:sz w:val="18"/>
              </w:rPr>
              <w:t>Powązki, kw. 174, rz. 4, nr 29</w:t>
            </w:r>
          </w:p>
        </w:tc>
        <w:tc>
          <w:tcPr>
            <w:tcW w:type="dxa" w:w="4649"/>
          </w:tcPr>
          <w:p>
            <w:pPr>
              <w:spacing w:after="0" w:line="240" w:lineRule="auto"/>
            </w:pPr>
            <w:r>
              <w:rPr>
                <w:sz w:val="18"/>
              </w:rPr>
              <w:t>Konstanty Brandel</w:t>
            </w:r>
          </w:p>
        </w:tc>
      </w:tr>
      <w:tr>
        <w:tc>
          <w:tcPr>
            <w:tcW w:type="dxa" w:w="4649"/>
          </w:tcPr>
          <w:p>
            <w:pPr>
              <w:spacing w:after="0" w:line="240" w:lineRule="auto"/>
            </w:pPr>
            <w:r>
              <w:rPr>
                <w:sz w:val="18"/>
              </w:rPr>
              <w:t>Powązki</w:t>
            </w:r>
          </w:p>
        </w:tc>
        <w:tc>
          <w:tcPr>
            <w:tcW w:type="dxa" w:w="4649"/>
          </w:tcPr>
          <w:p>
            <w:pPr>
              <w:spacing w:after="0" w:line="240" w:lineRule="auto"/>
            </w:pPr>
            <w:r>
              <w:rPr>
                <w:sz w:val="18"/>
              </w:rPr>
              <w:t>Zofia z Grotowskich Radoszewska (w grobie gen. Makowieckiego[?])</w:t>
            </w:r>
          </w:p>
        </w:tc>
      </w:tr>
      <w:tr>
        <w:tc>
          <w:tcPr>
            <w:tcW w:type="dxa" w:w="4649"/>
          </w:tcPr>
          <w:p>
            <w:pPr>
              <w:spacing w:after="0" w:line="240" w:lineRule="auto"/>
            </w:pPr>
            <w:r>
              <w:rPr>
                <w:sz w:val="18"/>
              </w:rPr>
              <w:t>Cmentarz Północny („Powązki Komunalne”)</w:t>
            </w:r>
          </w:p>
        </w:tc>
        <w:tc>
          <w:tcPr>
            <w:tcW w:type="dxa" w:w="4649"/>
          </w:tcPr>
          <w:p>
            <w:pPr>
              <w:spacing w:after="0" w:line="240" w:lineRule="auto"/>
            </w:pPr>
            <w:r>
              <w:rPr>
                <w:sz w:val="18"/>
              </w:rPr>
              <w:t>Maria z Radoszewskich Mierzyńska, Maria z Mierzyńskich Żeromska</w:t>
            </w:r>
          </w:p>
        </w:tc>
      </w:tr>
      <w:tr>
        <w:tc>
          <w:tcPr>
            <w:tcW w:type="dxa" w:w="4649"/>
          </w:tcPr>
          <w:p>
            <w:pPr>
              <w:spacing w:after="0" w:line="240" w:lineRule="auto"/>
            </w:pPr>
            <w:r>
              <w:rPr>
                <w:sz w:val="18"/>
              </w:rPr>
              <w:t>Cmentarz ewangelicko-augsburski, ul. Młynarska</w:t>
            </w:r>
          </w:p>
        </w:tc>
        <w:tc>
          <w:tcPr>
            <w:tcW w:type="dxa" w:w="4649"/>
          </w:tcPr>
          <w:p>
            <w:pPr>
              <w:spacing w:after="0" w:line="240" w:lineRule="auto"/>
            </w:pPr>
            <w:r>
              <w:rPr>
                <w:sz w:val="18"/>
              </w:rPr>
              <w:t>baron Ignacy Radoszewski, Amelia, Maria</w:t>
            </w:r>
          </w:p>
        </w:tc>
      </w:tr>
      <w:tr>
        <w:tc>
          <w:tcPr>
            <w:tcW w:type="dxa" w:w="4649"/>
          </w:tcPr>
          <w:p>
            <w:pPr>
              <w:spacing w:after="0" w:line="240" w:lineRule="auto"/>
            </w:pPr>
            <w:r>
              <w:rPr>
                <w:b/>
                <w:sz w:val="18"/>
              </w:rPr>
              <w:t>Wartkowice</w:t>
            </w:r>
            <w:r>
              <w:rPr>
                <w:sz w:val="18"/>
              </w:rPr>
              <w:t>, kaplica Radoszewskich z Neru</w:t>
            </w:r>
          </w:p>
        </w:tc>
        <w:tc>
          <w:tcPr>
            <w:tcW w:type="dxa" w:w="4649"/>
          </w:tcPr>
          <w:p>
            <w:pPr>
              <w:spacing w:after="0" w:line="240" w:lineRule="auto"/>
            </w:pPr>
            <w:r>
              <w:rPr>
                <w:sz w:val="18"/>
              </w:rPr>
              <w:t>Franciszek z Neru, Ludmiła ze Skrzyńskich, Jan z Neru (†1973), Aleksander i Waleria Skrzyńscy, Aleksander Skrzyński młodszy</w:t>
            </w:r>
          </w:p>
        </w:tc>
      </w:tr>
      <w:tr>
        <w:tc>
          <w:tcPr>
            <w:tcW w:type="dxa" w:w="4649"/>
          </w:tcPr>
          <w:p>
            <w:pPr>
              <w:spacing w:after="0" w:line="240" w:lineRule="auto"/>
            </w:pPr>
            <w:r>
              <w:rPr>
                <w:b/>
                <w:sz w:val="18"/>
              </w:rPr>
              <w:t>Leźnica Wielka</w:t>
            </w:r>
            <w:r>
              <w:rPr>
                <w:sz w:val="18"/>
              </w:rPr>
              <w:t>, kaplica Prządzyńskich</w:t>
            </w:r>
          </w:p>
        </w:tc>
        <w:tc>
          <w:tcPr>
            <w:tcW w:type="dxa" w:w="4649"/>
          </w:tcPr>
          <w:p>
            <w:pPr>
              <w:spacing w:after="0" w:line="240" w:lineRule="auto"/>
            </w:pPr>
            <w:r>
              <w:rPr>
                <w:sz w:val="18"/>
              </w:rPr>
              <w:t>senator Wincenty, Salomea, Władysław, Anna ze Skrzyńskich, Wincenty (†1895) i inni</w:t>
            </w:r>
          </w:p>
        </w:tc>
      </w:tr>
      <w:tr>
        <w:tc>
          <w:tcPr>
            <w:tcW w:type="dxa" w:w="4649"/>
          </w:tcPr>
          <w:p>
            <w:pPr>
              <w:spacing w:after="0" w:line="240" w:lineRule="auto"/>
            </w:pPr>
            <w:r>
              <w:rPr>
                <w:b/>
                <w:sz w:val="18"/>
              </w:rPr>
              <w:t>Wieluń</w:t>
            </w:r>
            <w:r>
              <w:rPr>
                <w:sz w:val="18"/>
              </w:rPr>
              <w:t>, kolegiata (zniszczona 1939)</w:t>
            </w:r>
          </w:p>
        </w:tc>
        <w:tc>
          <w:tcPr>
            <w:tcW w:type="dxa" w:w="4649"/>
          </w:tcPr>
          <w:p>
            <w:pPr>
              <w:spacing w:after="0" w:line="240" w:lineRule="auto"/>
            </w:pPr>
            <w:r>
              <w:rPr>
                <w:sz w:val="18"/>
              </w:rPr>
              <w:t>Jerzy (†1614), Andrzej (†1621), Marek (†1641), Anna z Biskupskich</w:t>
            </w:r>
          </w:p>
        </w:tc>
      </w:tr>
      <w:tr>
        <w:tc>
          <w:tcPr>
            <w:tcW w:type="dxa" w:w="4649"/>
          </w:tcPr>
          <w:p>
            <w:pPr>
              <w:spacing w:after="0" w:line="240" w:lineRule="auto"/>
            </w:pPr>
            <w:r>
              <w:rPr>
                <w:sz w:val="18"/>
              </w:rPr>
              <w:t>Kraków, kościół franciszkanów</w:t>
            </w:r>
          </w:p>
        </w:tc>
        <w:tc>
          <w:tcPr>
            <w:tcW w:type="dxa" w:w="4649"/>
          </w:tcPr>
          <w:p>
            <w:pPr>
              <w:spacing w:after="0" w:line="240" w:lineRule="auto"/>
            </w:pPr>
            <w:r>
              <w:rPr>
                <w:sz w:val="18"/>
              </w:rPr>
              <w:t>epitafium Barbary z Pęsławskich[?] Radoszewskiej (†1608)</w:t>
            </w:r>
          </w:p>
        </w:tc>
      </w:tr>
      <w:tr>
        <w:tc>
          <w:tcPr>
            <w:tcW w:type="dxa" w:w="4649"/>
          </w:tcPr>
          <w:p>
            <w:pPr>
              <w:spacing w:after="0" w:line="240" w:lineRule="auto"/>
            </w:pPr>
            <w:r>
              <w:rPr>
                <w:sz w:val="18"/>
              </w:rPr>
              <w:t>Kraków, Rakowice</w:t>
            </w:r>
          </w:p>
        </w:tc>
        <w:tc>
          <w:tcPr>
            <w:tcW w:type="dxa" w:w="4649"/>
          </w:tcPr>
          <w:p>
            <w:pPr>
              <w:spacing w:after="0" w:line="240" w:lineRule="auto"/>
            </w:pPr>
            <w:r>
              <w:rPr>
                <w:sz w:val="18"/>
              </w:rPr>
              <w:t>ks. kanonik Julian Drohojowski</w:t>
            </w:r>
          </w:p>
        </w:tc>
      </w:tr>
      <w:tr>
        <w:tc>
          <w:tcPr>
            <w:tcW w:type="dxa" w:w="4649"/>
          </w:tcPr>
          <w:p>
            <w:pPr>
              <w:spacing w:after="0" w:line="240" w:lineRule="auto"/>
            </w:pPr>
            <w:r>
              <w:rPr>
                <w:sz w:val="18"/>
              </w:rPr>
              <w:t>Zarzecze k. Jarosławia</w:t>
            </w:r>
          </w:p>
        </w:tc>
        <w:tc>
          <w:tcPr>
            <w:tcW w:type="dxa" w:w="4649"/>
          </w:tcPr>
          <w:p>
            <w:pPr>
              <w:spacing w:after="0" w:line="240" w:lineRule="auto"/>
            </w:pPr>
            <w:r>
              <w:rPr>
                <w:sz w:val="18"/>
              </w:rPr>
              <w:t>Bolesław i Bronisława Drohojowscy, Maria Madeyska</w:t>
            </w:r>
          </w:p>
        </w:tc>
      </w:tr>
      <w:tr>
        <w:tc>
          <w:tcPr>
            <w:tcW w:type="dxa" w:w="4649"/>
          </w:tcPr>
          <w:p>
            <w:pPr>
              <w:spacing w:after="0" w:line="240" w:lineRule="auto"/>
            </w:pPr>
            <w:r>
              <w:rPr>
                <w:sz w:val="18"/>
              </w:rPr>
              <w:t>Jarząbkowo k. Gniezna</w:t>
            </w:r>
          </w:p>
        </w:tc>
        <w:tc>
          <w:tcPr>
            <w:tcW w:type="dxa" w:w="4649"/>
          </w:tcPr>
          <w:p>
            <w:pPr>
              <w:spacing w:after="0" w:line="240" w:lineRule="auto"/>
            </w:pPr>
            <w:r>
              <w:rPr>
                <w:sz w:val="18"/>
              </w:rPr>
              <w:t>Stanisław (†1817) i Marianna Prządzyńscy</w:t>
            </w:r>
          </w:p>
        </w:tc>
      </w:tr>
      <w:tr>
        <w:tc>
          <w:tcPr>
            <w:tcW w:type="dxa" w:w="4649"/>
          </w:tcPr>
          <w:p>
            <w:pPr>
              <w:spacing w:after="0" w:line="240" w:lineRule="auto"/>
            </w:pPr>
            <w:r>
              <w:rPr>
                <w:sz w:val="18"/>
              </w:rPr>
              <w:t>Pniewy, cmentarz urszulanek</w:t>
            </w:r>
          </w:p>
        </w:tc>
        <w:tc>
          <w:tcPr>
            <w:tcW w:type="dxa" w:w="4649"/>
          </w:tcPr>
          <w:p>
            <w:pPr>
              <w:spacing w:after="0" w:line="240" w:lineRule="auto"/>
            </w:pPr>
            <w:r>
              <w:rPr>
                <w:sz w:val="18"/>
              </w:rPr>
              <w:t>Anna Prządzyńska („Babcia Netka”)</w:t>
            </w:r>
          </w:p>
        </w:tc>
      </w:tr>
      <w:tr>
        <w:tc>
          <w:tcPr>
            <w:tcW w:type="dxa" w:w="4649"/>
          </w:tcPr>
          <w:p>
            <w:pPr>
              <w:spacing w:after="0" w:line="240" w:lineRule="auto"/>
            </w:pPr>
            <w:r>
              <w:rPr>
                <w:sz w:val="18"/>
              </w:rPr>
              <w:t>Opatówek, kościół</w:t>
            </w:r>
          </w:p>
        </w:tc>
        <w:tc>
          <w:tcPr>
            <w:tcW w:type="dxa" w:w="4649"/>
          </w:tcPr>
          <w:p>
            <w:pPr>
              <w:spacing w:after="0" w:line="240" w:lineRule="auto"/>
            </w:pPr>
            <w:r>
              <w:rPr>
                <w:sz w:val="18"/>
              </w:rPr>
              <w:t>srebrne tabliczki trumienne gen. Zajączka i Radoszewskich</w:t>
            </w:r>
          </w:p>
        </w:tc>
      </w:tr>
      <w:tr>
        <w:tc>
          <w:tcPr>
            <w:tcW w:type="dxa" w:w="4649"/>
          </w:tcPr>
          <w:p>
            <w:pPr>
              <w:spacing w:after="0" w:line="240" w:lineRule="auto"/>
            </w:pPr>
            <w:r>
              <w:rPr>
                <w:sz w:val="18"/>
              </w:rPr>
              <w:t>Montmorency k. Paryża</w:t>
            </w:r>
          </w:p>
        </w:tc>
        <w:tc>
          <w:tcPr>
            <w:tcW w:type="dxa" w:w="4649"/>
          </w:tcPr>
          <w:p>
            <w:pPr>
              <w:spacing w:after="0" w:line="240" w:lineRule="auto"/>
            </w:pPr>
            <w:r>
              <w:rPr>
                <w:sz w:val="18"/>
              </w:rPr>
              <w:t>Renata z Krzyżanowskich Grabińska; inskrypcja Adama Grabińskiego</w:t>
            </w:r>
          </w:p>
        </w:tc>
      </w:tr>
      <w:tr>
        <w:tc>
          <w:tcPr>
            <w:tcW w:type="dxa" w:w="4649"/>
          </w:tcPr>
          <w:p>
            <w:pPr>
              <w:spacing w:after="0" w:line="240" w:lineRule="auto"/>
            </w:pPr>
            <w:r>
              <w:rPr>
                <w:sz w:val="18"/>
              </w:rPr>
              <w:t>Bolonia, cmentarz polski</w:t>
            </w:r>
          </w:p>
        </w:tc>
        <w:tc>
          <w:tcPr>
            <w:tcW w:type="dxa" w:w="4649"/>
          </w:tcPr>
          <w:p>
            <w:pPr>
              <w:spacing w:after="0" w:line="240" w:lineRule="auto"/>
            </w:pPr>
            <w:r>
              <w:rPr>
                <w:sz w:val="18"/>
              </w:rPr>
              <w:t>popiersie gen. Józefa Grabińskiego</w:t>
            </w:r>
          </w:p>
        </w:tc>
      </w:tr>
    </w:tbl>
    <w:p>
      <w:pPr>
        <w:spacing w:after="40"/>
      </w:pPr>
    </w:p>
    <w:p>
      <w:pPr>
        <w:pStyle w:val="Heading2"/>
      </w:pPr>
      <w:r>
        <w:rPr/>
        <w:t>Szlak przodków</w:t>
      </w:r>
    </w:p>
    <w:p>
      <w:r>
        <w:rPr/>
        <w:t xml:space="preserve">Na kartce z 8 lipca 2017 roku ktoś z rodziny naszkicował </w:t>
      </w:r>
      <w:r>
        <w:rPr>
          <w:b/>
        </w:rPr>
        <w:t>„szlak przodków Boxa-Radoszewskich”</w:t>
      </w:r>
      <w:r>
        <w:rPr/>
        <w:t>. To trasa, którą można przejechać śladami rodu: Wieluń, Radoszewice, Siemkowice, Pajęczno, Uniejów, Dominikowice, Krępa, Śmiechów, Niemysłów, Wartkowice, Ner, Gostków, Leźnica, Łęczyca, Kościerzyn, Poddębice i Opatówek.</w:t>
      </w:r>
      <w:r>
        <w:rPr>
          <w:rStyle w:val="FootnoteReference"/>
        </w:rPr>
        <w:footnoteReference w:id="247"/>
      </w:r>
    </w:p>
    <w:p>
      <w:pPr>
        <w:pStyle w:val="Heading1"/>
        <w:pageBreakBefore/>
      </w:pPr>
      <w:r>
        <w:rPr/>
        <w:t>16. Rozbieżności i pytania otwarte</w:t>
      </w:r>
    </w:p>
    <w:p>
      <w:r>
        <w:rPr/>
        <w:t>Najważniejsze sprawy, których źródła nie rozstrzygają. Mogą je wyjaśnić rodzina albo dalsze poszukiwania:</w:t>
      </w:r>
    </w:p>
    <w:p>
      <w:pPr>
        <w:pStyle w:val="ListNumber"/>
        <w:spacing w:after="60"/>
      </w:pPr>
      <w:r>
        <w:rPr>
          <w:b/>
        </w:rPr>
        <w:t>Kto był ojcem Marka, kasztelana wieluńskiego?</w:t>
      </w:r>
      <w:r>
        <w:rPr/>
        <w:t xml:space="preserve"> Drzewo Kosińskiego podaje Mikołaja V, ale daty życia wskazują raczej Jerzego (rozdz. 5).</w:t>
      </w:r>
    </w:p>
    <w:p>
      <w:pPr>
        <w:pStyle w:val="ListNumber"/>
        <w:spacing w:after="60"/>
      </w:pPr>
      <w:r>
        <w:rPr>
          <w:b/>
        </w:rPr>
        <w:t>Dwóch Andrzejów:</w:t>
      </w:r>
      <w:r>
        <w:rPr/>
        <w:t xml:space="preserve"> chorąży zmarły w 1621 roku i fundator sukienki dla obrazu w Pajęcznie z 1630 roku. Czy to ta sama osoba? Któremu z nich należy przypisać żonę Barbarę i epitafium w Krakowie (rozdz. 5)?</w:t>
      </w:r>
    </w:p>
    <w:p>
      <w:pPr>
        <w:pStyle w:val="ListNumber"/>
        <w:spacing w:after="60"/>
      </w:pPr>
      <w:r>
        <w:rPr>
          <w:b/>
        </w:rPr>
        <w:t>Stanisław 1657 i Stanisław †1679:</w:t>
      </w:r>
      <w:r>
        <w:rPr/>
        <w:t xml:space="preserve"> jedna osoba żonata dwa razy czy dwie osoby (rozdz. 6)?</w:t>
      </w:r>
    </w:p>
    <w:p>
      <w:pPr>
        <w:pStyle w:val="ListNumber"/>
        <w:spacing w:after="60"/>
      </w:pPr>
      <w:r>
        <w:rPr>
          <w:b/>
        </w:rPr>
        <w:t>Józef z Opatówka (1791–1831):</w:t>
      </w:r>
      <w:r>
        <w:rPr/>
        <w:t xml:space="preserve"> syn Rocha (według Dunina-Borkowskiego) czy Jana (według </w:t>
      </w:r>
      <w:r>
        <w:rPr>
          <w:i/>
        </w:rPr>
        <w:t>Wielkopolskiego słownika biograficznego</w:t>
      </w:r>
      <w:r>
        <w:rPr/>
        <w:t>)?</w:t>
      </w:r>
    </w:p>
    <w:p>
      <w:pPr>
        <w:pStyle w:val="ListNumber"/>
        <w:spacing w:after="60"/>
      </w:pPr>
      <w:r>
        <w:rPr>
          <w:b/>
        </w:rPr>
        <w:t>Józef z Dominikowic (†1850) i Józefat „starszy” ze Śmiechowa:</w:t>
      </w:r>
      <w:r>
        <w:rPr/>
        <w:t xml:space="preserve"> czy to ta sama osoba, brat Franciszka?</w:t>
      </w:r>
    </w:p>
    <w:p>
      <w:pPr>
        <w:pStyle w:val="ListNumber"/>
        <w:spacing w:after="60"/>
      </w:pPr>
      <w:r>
        <w:rPr>
          <w:b/>
        </w:rPr>
        <w:t>Daty urodzenia Michała Edmunda:</w:t>
      </w:r>
      <w:r>
        <w:rPr/>
        <w:t xml:space="preserve"> 16 VII 1865, 16 XI 1865 czy 1866?</w:t>
      </w:r>
    </w:p>
    <w:p>
      <w:pPr>
        <w:pStyle w:val="ListNumber"/>
        <w:spacing w:after="60"/>
      </w:pPr>
      <w:r>
        <w:rPr>
          <w:b/>
        </w:rPr>
        <w:t>Kiedy Jerzy przejął Krempę:</w:t>
      </w:r>
      <w:r>
        <w:rPr/>
        <w:t xml:space="preserve"> po służbie wojskowej (1926) czy w 1934 roku?</w:t>
      </w:r>
    </w:p>
    <w:p>
      <w:pPr>
        <w:pStyle w:val="ListNumber"/>
        <w:spacing w:after="60"/>
      </w:pPr>
      <w:r>
        <w:rPr>
          <w:b/>
        </w:rPr>
        <w:t>Rok rozbiórki dworu w Krempie:</w:t>
      </w:r>
      <w:r>
        <w:rPr/>
        <w:t xml:space="preserve"> 1980, 1981 czy ok. 1985?</w:t>
      </w:r>
    </w:p>
    <w:p>
      <w:pPr>
        <w:pStyle w:val="ListNumber"/>
        <w:spacing w:after="60"/>
      </w:pPr>
      <w:r>
        <w:rPr>
          <w:b/>
        </w:rPr>
        <w:t>Herb Teofili:</w:t>
      </w:r>
      <w:r>
        <w:rPr/>
        <w:t xml:space="preserve"> Szeliga czy Lubicz?</w:t>
      </w:r>
    </w:p>
    <w:p>
      <w:pPr>
        <w:pStyle w:val="ListNumber"/>
        <w:spacing w:after="60"/>
      </w:pPr>
      <w:r>
        <w:rPr>
          <w:b/>
        </w:rPr>
        <w:t>Bitwa 1863 roku, po której ukrywano powstańców:</w:t>
      </w:r>
      <w:r>
        <w:rPr/>
        <w:t xml:space="preserve"> pod Niemysłowem (23 V 1863), czy pod „Niewierszem[?]”? I czy Teofila przemówiła do dragonów, czy upiła Kozaków?</w:t>
      </w:r>
    </w:p>
    <w:p>
      <w:pPr>
        <w:pStyle w:val="ListNumber"/>
        <w:spacing w:after="60"/>
      </w:pPr>
      <w:r>
        <w:rPr>
          <w:b/>
        </w:rPr>
        <w:t>Liczne niepewne odczyty nazwisk</w:t>
      </w:r>
      <w:r>
        <w:rPr/>
        <w:t xml:space="preserve"> w zapiskach, np. Kurzepnicka, Pęsławska/Popławska, Zazarska, Rosdeitscher, Dzbska/Dąbska, Zawiński. Pełna lista jest w </w:t>
      </w:r>
      <w:r>
        <w:rPr>
          <w:rFonts w:ascii="Consolas" w:hAnsi="Consolas"/>
          <w:sz w:val="19"/>
        </w:rPr>
        <w:t>dane/watpliwosci.md</w:t>
      </w:r>
      <w:r>
        <w:rPr/>
        <w:t>.</w:t>
      </w:r>
    </w:p>
    <w:p>
      <w:r>
        <w:rPr>
          <w:b/>
        </w:rPr>
        <w:t>Materiały, których warto poszukać</w:t>
      </w:r>
      <w:r>
        <w:rPr/>
        <w:t xml:space="preserve"> (cytuje je Kajzer, a w zbiorze ich nie ma):</w:t>
      </w:r>
    </w:p>
    <w:p>
      <w:pPr>
        <w:pStyle w:val="ListBullet"/>
        <w:spacing w:after="60"/>
      </w:pPr>
      <w:r>
        <w:rPr/>
        <w:t xml:space="preserve">Anna Radoszewska, </w:t>
      </w:r>
      <w:r>
        <w:rPr>
          <w:i/>
        </w:rPr>
        <w:t>Dwór w Krempie</w:t>
      </w:r>
      <w:r>
        <w:rPr/>
        <w:t>, Brwinów 1991;</w:t>
      </w:r>
    </w:p>
    <w:p>
      <w:pPr>
        <w:pStyle w:val="ListBullet"/>
        <w:spacing w:after="60"/>
      </w:pPr>
      <w:r>
        <w:rPr/>
        <w:t xml:space="preserve">Anna Radoszewska, </w:t>
      </w:r>
      <w:r>
        <w:rPr>
          <w:i/>
        </w:rPr>
        <w:t>Opis dworu w Kościerzynie</w:t>
      </w:r>
      <w:r>
        <w:rPr/>
        <w:t>, Brwinów 1991;</w:t>
      </w:r>
    </w:p>
    <w:p>
      <w:pPr>
        <w:pStyle w:val="ListBullet"/>
        <w:spacing w:after="60"/>
      </w:pPr>
      <w:r>
        <w:rPr/>
        <w:t>list Anny z Prządzyńskich Radoszewskiej do L. Kajzera z 18 III 1991 i stare fotografie;</w:t>
      </w:r>
    </w:p>
    <w:p>
      <w:pPr>
        <w:pStyle w:val="ListBullet"/>
        <w:spacing w:after="60"/>
      </w:pPr>
      <w:r>
        <w:rPr/>
        <w:t xml:space="preserve">Stefan Łakomy, </w:t>
      </w:r>
      <w:r>
        <w:rPr>
          <w:i/>
        </w:rPr>
        <w:t>Opis dworku w Radoszewicach</w:t>
      </w:r>
      <w:r>
        <w:rPr/>
        <w:t>, Radoszewice 1991;</w:t>
      </w:r>
    </w:p>
    <w:p>
      <w:pPr>
        <w:pStyle w:val="ListBullet"/>
        <w:spacing w:after="60"/>
      </w:pPr>
      <w:r>
        <w:rPr/>
        <w:t xml:space="preserve">Teresa Karśnicka-Kozłowska, </w:t>
      </w:r>
      <w:r>
        <w:rPr>
          <w:i/>
        </w:rPr>
        <w:t>Opis dworu w Siemkowicach</w:t>
      </w:r>
      <w:r>
        <w:rPr/>
        <w:t>, Gdańsk 1991.</w:t>
      </w:r>
      <w:r>
        <w:rPr>
          <w:rStyle w:val="FootnoteReference"/>
        </w:rPr>
        <w:footnoteReference w:id="248"/>
      </w:r>
    </w:p>
    <w:p>
      <w:r>
        <w:rPr/>
        <w:t>Do tego dochodzą ocalałe portrety rodzinne (osiem obrazów) i portrety przechowywane u Andrzeja, Elżbiety i Teresy.</w:t>
      </w:r>
      <w:r>
        <w:rPr>
          <w:rStyle w:val="FootnoteReference"/>
        </w:rPr>
        <w:footnoteReference w:id="249"/>
      </w:r>
    </w:p>
    <w:p>
      <w:pPr>
        <w:pStyle w:val="Heading1"/>
        <w:pageBreakBefore/>
      </w:pPr>
      <w:r>
        <w:rPr/>
        <w:t>Aneks A. Linia główna Boxa-Radoszewskich</w:t>
      </w:r>
    </w:p>
    <w:p>
      <w:r>
        <w:rPr/>
        <w:t>Linia z ojca na syna według drzewa Kosińskiego (pokolenia I–XI, do początku XVII wieku), monografii Kajzera i zapisków rodzinnych. Pokolenia I–VII to tradycja rodowa (zob. rozdz. 2).</w:t>
      </w:r>
    </w:p>
    <w:p>
      <w:pPr>
        <w:keepNext/>
        <w:jc w:val="center"/>
      </w:pPr>
      <w:r>
        <w:drawing>
          <wp:inline xmlns:a="http://schemas.openxmlformats.org/drawingml/2006/main" xmlns:pic="http://schemas.openxmlformats.org/drawingml/2006/picture">
            <wp:extent cx="4860000" cy="6480000"/>
            <wp:docPr id="5" name="Picture 5"/>
            <wp:cNvGraphicFramePr>
              <a:graphicFrameLocks noChangeAspect="1"/>
            </wp:cNvGraphicFramePr>
            <a:graphic>
              <a:graphicData uri="http://schemas.openxmlformats.org/drawingml/2006/picture">
                <pic:pic>
                  <pic:nvPicPr>
                    <pic:cNvPr id="0" name="IMG_5911-1.jpg"/>
                    <pic:cNvPicPr/>
                  </pic:nvPicPr>
                  <pic:blipFill>
                    <a:blip r:embed="rId14"/>
                    <a:stretch>
                      <a:fillRect/>
                    </a:stretch>
                  </pic:blipFill>
                  <pic:spPr>
                    <a:xfrm>
                      <a:off x="0" y="0"/>
                      <a:ext cx="4860000" cy="6480000"/>
                    </a:xfrm>
                    <a:prstGeom prst="rect"/>
                  </pic:spPr>
                </pic:pic>
              </a:graphicData>
            </a:graphic>
          </wp:inline>
        </w:drawing>
      </w:r>
    </w:p>
    <w:p>
      <w:pPr>
        <w:pStyle w:val="Caption"/>
        <w:jc w:val="center"/>
      </w:pPr>
      <w:r>
        <w:rPr/>
        <w:t>Drzewo „linii prostej” Radoszewskich od Imbrama z Siemkowic (1412) do Jerzego i Anny — zeszyt wspomnień, s. 1 (S07)</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2324"/>
            <w:shd w:val="clear" w:fill="EFE8DC"/>
          </w:tcPr>
          <w:p>
            <w:pPr>
              <w:spacing w:after="0" w:line="240" w:lineRule="auto"/>
            </w:pPr>
            <w:r>
              <w:rPr>
                <w:b/>
                <w:sz w:val="18"/>
              </w:rPr>
              <w:t>Pok.</w:t>
            </w:r>
          </w:p>
        </w:tc>
        <w:tc>
          <w:tcPr>
            <w:tcW w:type="dxa" w:w="2324"/>
            <w:shd w:val="clear" w:fill="EFE8DC"/>
          </w:tcPr>
          <w:p>
            <w:pPr>
              <w:spacing w:after="0" w:line="240" w:lineRule="auto"/>
            </w:pPr>
            <w:r>
              <w:rPr>
                <w:b/>
                <w:sz w:val="18"/>
              </w:rPr>
              <w:t>Osoba</w:t>
            </w:r>
          </w:p>
        </w:tc>
        <w:tc>
          <w:tcPr>
            <w:tcW w:type="dxa" w:w="2324"/>
            <w:shd w:val="clear" w:fill="EFE8DC"/>
          </w:tcPr>
          <w:p>
            <w:pPr>
              <w:spacing w:after="0" w:line="240" w:lineRule="auto"/>
            </w:pPr>
            <w:r>
              <w:rPr>
                <w:b/>
                <w:sz w:val="18"/>
              </w:rPr>
              <w:t>Żona</w:t>
            </w:r>
          </w:p>
        </w:tc>
        <w:tc>
          <w:tcPr>
            <w:tcW w:type="dxa" w:w="2324"/>
            <w:shd w:val="clear" w:fill="EFE8DC"/>
          </w:tcPr>
          <w:p>
            <w:pPr>
              <w:spacing w:after="0" w:line="240" w:lineRule="auto"/>
            </w:pPr>
            <w:r>
              <w:rPr>
                <w:b/>
                <w:sz w:val="18"/>
              </w:rPr>
              <w:t>Uwagi</w:t>
            </w:r>
          </w:p>
        </w:tc>
      </w:tr>
      <w:tr>
        <w:tc>
          <w:tcPr>
            <w:tcW w:type="dxa" w:w="2324"/>
          </w:tcPr>
          <w:p>
            <w:pPr>
              <w:spacing w:after="0" w:line="240" w:lineRule="auto"/>
            </w:pPr>
            <w:r>
              <w:rPr>
                <w:sz w:val="18"/>
              </w:rPr>
              <w:t>I</w:t>
            </w:r>
          </w:p>
        </w:tc>
        <w:tc>
          <w:tcPr>
            <w:tcW w:type="dxa" w:w="2324"/>
          </w:tcPr>
          <w:p>
            <w:pPr>
              <w:spacing w:after="0" w:line="240" w:lineRule="auto"/>
            </w:pPr>
            <w:r>
              <w:rPr>
                <w:sz w:val="18"/>
              </w:rPr>
              <w:t>Jan (Stogniew) Wrszowiec</w:t>
            </w:r>
          </w:p>
        </w:tc>
        <w:tc>
          <w:tcPr>
            <w:tcW w:type="dxa" w:w="2324"/>
          </w:tcPr>
          <w:p>
            <w:pPr>
              <w:spacing w:after="0" w:line="240" w:lineRule="auto"/>
            </w:pPr>
            <w:r>
              <w:rPr>
                <w:sz w:val="18"/>
              </w:rPr>
              <w:t>—</w:t>
            </w:r>
          </w:p>
        </w:tc>
        <w:tc>
          <w:tcPr>
            <w:tcW w:type="dxa" w:w="2324"/>
          </w:tcPr>
          <w:p>
            <w:pPr>
              <w:spacing w:after="0" w:line="240" w:lineRule="auto"/>
            </w:pPr>
            <w:r>
              <w:rPr>
                <w:sz w:val="18"/>
              </w:rPr>
              <w:t>przybysz z Czech, nadania od Krzywoustego (legenda)</w:t>
            </w:r>
          </w:p>
        </w:tc>
      </w:tr>
      <w:tr>
        <w:tc>
          <w:tcPr>
            <w:tcW w:type="dxa" w:w="2324"/>
          </w:tcPr>
          <w:p>
            <w:pPr>
              <w:spacing w:after="0" w:line="240" w:lineRule="auto"/>
            </w:pPr>
            <w:r>
              <w:rPr>
                <w:sz w:val="18"/>
              </w:rPr>
              <w:t>II</w:t>
            </w:r>
          </w:p>
        </w:tc>
        <w:tc>
          <w:tcPr>
            <w:tcW w:type="dxa" w:w="2324"/>
          </w:tcPr>
          <w:p>
            <w:pPr>
              <w:spacing w:after="0" w:line="240" w:lineRule="auto"/>
            </w:pPr>
            <w:r>
              <w:rPr>
                <w:sz w:val="18"/>
              </w:rPr>
              <w:t>Stogniew I</w:t>
            </w:r>
          </w:p>
        </w:tc>
        <w:tc>
          <w:tcPr>
            <w:tcW w:type="dxa" w:w="2324"/>
          </w:tcPr>
          <w:p>
            <w:pPr>
              <w:spacing w:after="0" w:line="240" w:lineRule="auto"/>
            </w:pPr>
            <w:r>
              <w:rPr>
                <w:sz w:val="18"/>
              </w:rPr>
              <w:t>—</w:t>
            </w:r>
          </w:p>
        </w:tc>
        <w:tc>
          <w:tcPr>
            <w:tcW w:type="dxa" w:w="2324"/>
          </w:tcPr>
          <w:p>
            <w:pPr>
              <w:spacing w:after="0" w:line="240" w:lineRule="auto"/>
            </w:pPr>
            <w:r>
              <w:rPr>
                <w:sz w:val="18"/>
              </w:rPr>
              <w:t>Radoszewice, Siemkowice</w:t>
            </w:r>
          </w:p>
        </w:tc>
      </w:tr>
      <w:tr>
        <w:tc>
          <w:tcPr>
            <w:tcW w:type="dxa" w:w="2324"/>
          </w:tcPr>
          <w:p>
            <w:pPr>
              <w:spacing w:after="0" w:line="240" w:lineRule="auto"/>
            </w:pPr>
            <w:r>
              <w:rPr>
                <w:sz w:val="18"/>
              </w:rPr>
              <w:t>III</w:t>
            </w:r>
          </w:p>
        </w:tc>
        <w:tc>
          <w:tcPr>
            <w:tcW w:type="dxa" w:w="2324"/>
          </w:tcPr>
          <w:p>
            <w:pPr>
              <w:spacing w:after="0" w:line="240" w:lineRule="auto"/>
            </w:pPr>
            <w:r>
              <w:rPr>
                <w:sz w:val="18"/>
              </w:rPr>
              <w:t>Jan II</w:t>
            </w:r>
          </w:p>
        </w:tc>
        <w:tc>
          <w:tcPr>
            <w:tcW w:type="dxa" w:w="2324"/>
          </w:tcPr>
          <w:p>
            <w:pPr>
              <w:spacing w:after="0" w:line="240" w:lineRule="auto"/>
            </w:pPr>
            <w:r>
              <w:rPr>
                <w:sz w:val="18"/>
              </w:rPr>
              <w:t>—</w:t>
            </w:r>
          </w:p>
        </w:tc>
        <w:tc>
          <w:tcPr>
            <w:tcW w:type="dxa" w:w="2324"/>
          </w:tcPr>
          <w:p>
            <w:pPr>
              <w:spacing w:after="0" w:line="240" w:lineRule="auto"/>
            </w:pPr>
            <w:r>
              <w:rPr>
                <w:sz w:val="18"/>
              </w:rPr>
              <w:t>kasztelan spicymierski; przywilej 1212</w:t>
            </w:r>
          </w:p>
        </w:tc>
      </w:tr>
      <w:tr>
        <w:tc>
          <w:tcPr>
            <w:tcW w:type="dxa" w:w="2324"/>
          </w:tcPr>
          <w:p>
            <w:pPr>
              <w:spacing w:after="0" w:line="240" w:lineRule="auto"/>
            </w:pPr>
            <w:r>
              <w:rPr>
                <w:sz w:val="18"/>
              </w:rPr>
              <w:t>IV</w:t>
            </w:r>
          </w:p>
        </w:tc>
        <w:tc>
          <w:tcPr>
            <w:tcW w:type="dxa" w:w="2324"/>
          </w:tcPr>
          <w:p>
            <w:pPr>
              <w:spacing w:after="0" w:line="240" w:lineRule="auto"/>
            </w:pPr>
            <w:r>
              <w:rPr>
                <w:sz w:val="18"/>
              </w:rPr>
              <w:t>Mikołaj I</w:t>
            </w:r>
          </w:p>
        </w:tc>
        <w:tc>
          <w:tcPr>
            <w:tcW w:type="dxa" w:w="2324"/>
          </w:tcPr>
          <w:p>
            <w:pPr>
              <w:spacing w:after="0" w:line="240" w:lineRule="auto"/>
            </w:pPr>
            <w:r>
              <w:rPr>
                <w:sz w:val="18"/>
              </w:rPr>
              <w:t>—</w:t>
            </w:r>
          </w:p>
        </w:tc>
        <w:tc>
          <w:tcPr>
            <w:tcW w:type="dxa" w:w="2324"/>
          </w:tcPr>
          <w:p>
            <w:pPr>
              <w:spacing w:after="0" w:line="240" w:lineRule="auto"/>
            </w:pPr>
            <w:r>
              <w:rPr>
                <w:sz w:val="18"/>
              </w:rPr>
              <w:t>Radoszewice, Raduczyce</w:t>
            </w:r>
          </w:p>
        </w:tc>
      </w:tr>
      <w:tr>
        <w:tc>
          <w:tcPr>
            <w:tcW w:type="dxa" w:w="2324"/>
          </w:tcPr>
          <w:p>
            <w:pPr>
              <w:spacing w:after="0" w:line="240" w:lineRule="auto"/>
            </w:pPr>
            <w:r>
              <w:rPr>
                <w:sz w:val="18"/>
              </w:rPr>
              <w:t>V</w:t>
            </w:r>
          </w:p>
        </w:tc>
        <w:tc>
          <w:tcPr>
            <w:tcW w:type="dxa" w:w="2324"/>
          </w:tcPr>
          <w:p>
            <w:pPr>
              <w:spacing w:after="0" w:line="240" w:lineRule="auto"/>
            </w:pPr>
            <w:r>
              <w:rPr>
                <w:sz w:val="18"/>
              </w:rPr>
              <w:t>Stogniew IV Bogusław „Boksa”</w:t>
            </w:r>
          </w:p>
        </w:tc>
        <w:tc>
          <w:tcPr>
            <w:tcW w:type="dxa" w:w="2324"/>
          </w:tcPr>
          <w:p>
            <w:pPr>
              <w:spacing w:after="0" w:line="240" w:lineRule="auto"/>
            </w:pPr>
            <w:r>
              <w:rPr>
                <w:sz w:val="18"/>
              </w:rPr>
              <w:t>—</w:t>
            </w:r>
          </w:p>
        </w:tc>
        <w:tc>
          <w:tcPr>
            <w:tcW w:type="dxa" w:w="2324"/>
          </w:tcPr>
          <w:p>
            <w:pPr>
              <w:spacing w:after="0" w:line="240" w:lineRule="auto"/>
            </w:pPr>
            <w:r>
              <w:rPr>
                <w:sz w:val="18"/>
              </w:rPr>
              <w:t>wojewoda sandomierski (tradycja)</w:t>
            </w:r>
          </w:p>
        </w:tc>
      </w:tr>
      <w:tr>
        <w:tc>
          <w:tcPr>
            <w:tcW w:type="dxa" w:w="2324"/>
          </w:tcPr>
          <w:p>
            <w:pPr>
              <w:spacing w:after="0" w:line="240" w:lineRule="auto"/>
            </w:pPr>
            <w:r>
              <w:rPr>
                <w:sz w:val="18"/>
              </w:rPr>
              <w:t>VI</w:t>
            </w:r>
          </w:p>
        </w:tc>
        <w:tc>
          <w:tcPr>
            <w:tcW w:type="dxa" w:w="2324"/>
          </w:tcPr>
          <w:p>
            <w:pPr>
              <w:spacing w:after="0" w:line="240" w:lineRule="auto"/>
            </w:pPr>
            <w:r>
              <w:rPr>
                <w:sz w:val="18"/>
              </w:rPr>
              <w:t>Stogniew V Boksic</w:t>
            </w:r>
          </w:p>
        </w:tc>
        <w:tc>
          <w:tcPr>
            <w:tcW w:type="dxa" w:w="2324"/>
          </w:tcPr>
          <w:p>
            <w:pPr>
              <w:spacing w:after="0" w:line="240" w:lineRule="auto"/>
            </w:pPr>
            <w:r>
              <w:rPr>
                <w:sz w:val="18"/>
              </w:rPr>
              <w:t>—</w:t>
            </w:r>
          </w:p>
        </w:tc>
        <w:tc>
          <w:tcPr>
            <w:tcW w:type="dxa" w:w="2324"/>
          </w:tcPr>
          <w:p>
            <w:pPr>
              <w:spacing w:after="0" w:line="240" w:lineRule="auto"/>
            </w:pPr>
            <w:r>
              <w:rPr>
                <w:sz w:val="18"/>
              </w:rPr>
              <w:t>sędzia lelowski</w:t>
            </w:r>
          </w:p>
        </w:tc>
      </w:tr>
      <w:tr>
        <w:tc>
          <w:tcPr>
            <w:tcW w:type="dxa" w:w="2324"/>
          </w:tcPr>
          <w:p>
            <w:pPr>
              <w:spacing w:after="0" w:line="240" w:lineRule="auto"/>
            </w:pPr>
            <w:r>
              <w:rPr>
                <w:sz w:val="18"/>
              </w:rPr>
              <w:t>VII</w:t>
            </w:r>
          </w:p>
        </w:tc>
        <w:tc>
          <w:tcPr>
            <w:tcW w:type="dxa" w:w="2324"/>
          </w:tcPr>
          <w:p>
            <w:pPr>
              <w:spacing w:after="0" w:line="240" w:lineRule="auto"/>
            </w:pPr>
            <w:r>
              <w:rPr>
                <w:sz w:val="18"/>
              </w:rPr>
              <w:t>Mikołaj III Boksic</w:t>
            </w:r>
          </w:p>
        </w:tc>
        <w:tc>
          <w:tcPr>
            <w:tcW w:type="dxa" w:w="2324"/>
          </w:tcPr>
          <w:p>
            <w:pPr>
              <w:spacing w:after="0" w:line="240" w:lineRule="auto"/>
            </w:pPr>
            <w:r>
              <w:rPr>
                <w:sz w:val="18"/>
              </w:rPr>
              <w:t>—</w:t>
            </w:r>
          </w:p>
        </w:tc>
        <w:tc>
          <w:tcPr>
            <w:tcW w:type="dxa" w:w="2324"/>
          </w:tcPr>
          <w:p>
            <w:pPr>
              <w:spacing w:after="0" w:line="240" w:lineRule="auto"/>
            </w:pPr>
            <w:r>
              <w:rPr>
                <w:sz w:val="18"/>
              </w:rPr>
              <w:t>pochowany w Pajęcznie</w:t>
            </w:r>
          </w:p>
        </w:tc>
      </w:tr>
      <w:tr>
        <w:tc>
          <w:tcPr>
            <w:tcW w:type="dxa" w:w="2324"/>
          </w:tcPr>
          <w:p>
            <w:pPr>
              <w:spacing w:after="0" w:line="240" w:lineRule="auto"/>
            </w:pPr>
            <w:r>
              <w:rPr>
                <w:sz w:val="18"/>
              </w:rPr>
              <w:t>VIII</w:t>
            </w:r>
          </w:p>
        </w:tc>
        <w:tc>
          <w:tcPr>
            <w:tcW w:type="dxa" w:w="2324"/>
          </w:tcPr>
          <w:p>
            <w:pPr>
              <w:spacing w:after="0" w:line="240" w:lineRule="auto"/>
            </w:pPr>
            <w:r>
              <w:rPr>
                <w:b/>
                <w:sz w:val="18"/>
              </w:rPr>
              <w:t>Imbram (Imram) Boksa</w:t>
            </w:r>
          </w:p>
        </w:tc>
        <w:tc>
          <w:tcPr>
            <w:tcW w:type="dxa" w:w="2324"/>
          </w:tcPr>
          <w:p>
            <w:pPr>
              <w:spacing w:after="0" w:line="240" w:lineRule="auto"/>
            </w:pPr>
            <w:r>
              <w:rPr>
                <w:sz w:val="18"/>
              </w:rPr>
              <w:t>Jachna z Osjakowa (Larysówna)</w:t>
            </w:r>
          </w:p>
        </w:tc>
        <w:tc>
          <w:tcPr>
            <w:tcW w:type="dxa" w:w="2324"/>
          </w:tcPr>
          <w:p>
            <w:pPr>
              <w:spacing w:after="0" w:line="240" w:lineRule="auto"/>
            </w:pPr>
            <w:r>
              <w:rPr>
                <w:sz w:val="18"/>
              </w:rPr>
              <w:t>w aktach 1412–1413</w:t>
            </w:r>
          </w:p>
        </w:tc>
      </w:tr>
      <w:tr>
        <w:tc>
          <w:tcPr>
            <w:tcW w:type="dxa" w:w="2324"/>
          </w:tcPr>
          <w:p>
            <w:pPr>
              <w:spacing w:after="0" w:line="240" w:lineRule="auto"/>
            </w:pPr>
            <w:r>
              <w:rPr>
                <w:sz w:val="18"/>
              </w:rPr>
              <w:t>IX</w:t>
            </w:r>
          </w:p>
        </w:tc>
        <w:tc>
          <w:tcPr>
            <w:tcW w:type="dxa" w:w="2324"/>
          </w:tcPr>
          <w:p>
            <w:pPr>
              <w:spacing w:after="0" w:line="240" w:lineRule="auto"/>
            </w:pPr>
            <w:r>
              <w:rPr>
                <w:b/>
                <w:sz w:val="18"/>
              </w:rPr>
              <w:t>Bogusław Boksa z Radoszewic</w:t>
            </w:r>
          </w:p>
        </w:tc>
        <w:tc>
          <w:tcPr>
            <w:tcW w:type="dxa" w:w="2324"/>
          </w:tcPr>
          <w:p>
            <w:pPr>
              <w:spacing w:after="0" w:line="240" w:lineRule="auto"/>
            </w:pPr>
            <w:r>
              <w:rPr>
                <w:sz w:val="18"/>
              </w:rPr>
              <w:t>trzy żony</w:t>
            </w:r>
          </w:p>
        </w:tc>
        <w:tc>
          <w:tcPr>
            <w:tcW w:type="dxa" w:w="2324"/>
          </w:tcPr>
          <w:p>
            <w:pPr>
              <w:spacing w:after="0" w:line="240" w:lineRule="auto"/>
            </w:pPr>
            <w:r>
              <w:rPr>
                <w:sz w:val="18"/>
              </w:rPr>
              <w:t>dział ok. 1430–1440; †1459 (S07)</w:t>
            </w:r>
          </w:p>
        </w:tc>
      </w:tr>
      <w:tr>
        <w:tc>
          <w:tcPr>
            <w:tcW w:type="dxa" w:w="2324"/>
          </w:tcPr>
          <w:p>
            <w:pPr>
              <w:spacing w:after="0" w:line="240" w:lineRule="auto"/>
            </w:pPr>
            <w:r>
              <w:rPr>
                <w:sz w:val="18"/>
              </w:rPr>
              <w:t>X</w:t>
            </w:r>
          </w:p>
        </w:tc>
        <w:tc>
          <w:tcPr>
            <w:tcW w:type="dxa" w:w="2324"/>
          </w:tcPr>
          <w:p>
            <w:pPr>
              <w:spacing w:after="0" w:line="240" w:lineRule="auto"/>
            </w:pPr>
            <w:r>
              <w:rPr>
                <w:b/>
                <w:sz w:val="18"/>
              </w:rPr>
              <w:t>Mikołaj V (Miklasz) Boksa</w:t>
            </w:r>
          </w:p>
        </w:tc>
        <w:tc>
          <w:tcPr>
            <w:tcW w:type="dxa" w:w="2324"/>
          </w:tcPr>
          <w:p>
            <w:pPr>
              <w:spacing w:after="0" w:line="240" w:lineRule="auto"/>
            </w:pPr>
            <w:r>
              <w:rPr>
                <w:sz w:val="18"/>
              </w:rPr>
              <w:t>Zofia Konopnicka / Kurzepnicka[?]</w:t>
            </w:r>
          </w:p>
        </w:tc>
        <w:tc>
          <w:tcPr>
            <w:tcW w:type="dxa" w:w="2324"/>
          </w:tcPr>
          <w:p>
            <w:pPr>
              <w:spacing w:after="0" w:line="240" w:lineRule="auto"/>
            </w:pPr>
            <w:r>
              <w:rPr>
                <w:sz w:val="18"/>
              </w:rPr>
              <w:t>Węgry; †1574 w wieku 85 lat</w:t>
            </w:r>
          </w:p>
        </w:tc>
      </w:tr>
      <w:tr>
        <w:tc>
          <w:tcPr>
            <w:tcW w:type="dxa" w:w="2324"/>
          </w:tcPr>
          <w:p>
            <w:pPr>
              <w:spacing w:after="0" w:line="240" w:lineRule="auto"/>
            </w:pPr>
            <w:r>
              <w:rPr>
                <w:sz w:val="18"/>
              </w:rPr>
              <w:t>XI</w:t>
            </w:r>
          </w:p>
        </w:tc>
        <w:tc>
          <w:tcPr>
            <w:tcW w:type="dxa" w:w="2324"/>
          </w:tcPr>
          <w:p>
            <w:pPr>
              <w:spacing w:after="0" w:line="240" w:lineRule="auto"/>
            </w:pPr>
            <w:r>
              <w:rPr>
                <w:b/>
                <w:sz w:val="18"/>
              </w:rPr>
              <w:t>Jerzy</w:t>
            </w:r>
            <w:r>
              <w:rPr>
                <w:sz w:val="18"/>
              </w:rPr>
              <w:t>, podkomorzy wieluński</w:t>
            </w:r>
          </w:p>
        </w:tc>
        <w:tc>
          <w:tcPr>
            <w:tcW w:type="dxa" w:w="2324"/>
          </w:tcPr>
          <w:p>
            <w:pPr>
              <w:spacing w:after="0" w:line="240" w:lineRule="auto"/>
            </w:pPr>
            <w:r>
              <w:rPr>
                <w:sz w:val="18"/>
              </w:rPr>
              <w:t>Mogilnicka h. Korczak</w:t>
            </w:r>
          </w:p>
        </w:tc>
        <w:tc>
          <w:tcPr>
            <w:tcW w:type="dxa" w:w="2324"/>
          </w:tcPr>
          <w:p>
            <w:pPr>
              <w:spacing w:after="0" w:line="240" w:lineRule="auto"/>
            </w:pPr>
            <w:r>
              <w:rPr>
                <w:sz w:val="18"/>
              </w:rPr>
              <w:t>†23 X 1614</w:t>
            </w:r>
          </w:p>
        </w:tc>
      </w:tr>
      <w:tr>
        <w:tc>
          <w:tcPr>
            <w:tcW w:type="dxa" w:w="2324"/>
          </w:tcPr>
          <w:p>
            <w:pPr>
              <w:spacing w:after="0" w:line="240" w:lineRule="auto"/>
            </w:pPr>
            <w:r>
              <w:rPr>
                <w:sz w:val="18"/>
              </w:rPr>
              <w:t>XII</w:t>
            </w:r>
          </w:p>
        </w:tc>
        <w:tc>
          <w:tcPr>
            <w:tcW w:type="dxa" w:w="2324"/>
          </w:tcPr>
          <w:p>
            <w:pPr>
              <w:spacing w:after="0" w:line="240" w:lineRule="auto"/>
            </w:pPr>
            <w:r>
              <w:rPr>
                <w:b/>
                <w:sz w:val="18"/>
              </w:rPr>
              <w:t>Marek</w:t>
            </w:r>
            <w:r>
              <w:rPr>
                <w:sz w:val="18"/>
              </w:rPr>
              <w:t>, kasztelan wieluński</w:t>
            </w:r>
          </w:p>
        </w:tc>
        <w:tc>
          <w:tcPr>
            <w:tcW w:type="dxa" w:w="2324"/>
          </w:tcPr>
          <w:p>
            <w:pPr>
              <w:spacing w:after="0" w:line="240" w:lineRule="auto"/>
            </w:pPr>
            <w:r>
              <w:rPr>
                <w:sz w:val="18"/>
              </w:rPr>
              <w:t>Anna z Rudnik Biskupska</w:t>
            </w:r>
          </w:p>
        </w:tc>
        <w:tc>
          <w:tcPr>
            <w:tcW w:type="dxa" w:w="2324"/>
          </w:tcPr>
          <w:p>
            <w:pPr>
              <w:spacing w:after="0" w:line="240" w:lineRule="auto"/>
            </w:pPr>
            <w:r>
              <w:rPr>
                <w:sz w:val="18"/>
              </w:rPr>
              <w:t>†28 XI 1641 (syn Jerzego albo Mikołaja — zob. rozdz. 16)</w:t>
            </w:r>
          </w:p>
        </w:tc>
      </w:tr>
      <w:tr>
        <w:tc>
          <w:tcPr>
            <w:tcW w:type="dxa" w:w="2324"/>
          </w:tcPr>
          <w:p>
            <w:pPr>
              <w:spacing w:after="0" w:line="240" w:lineRule="auto"/>
            </w:pPr>
            <w:r>
              <w:rPr>
                <w:sz w:val="18"/>
              </w:rPr>
              <w:t>XIII</w:t>
            </w:r>
          </w:p>
        </w:tc>
        <w:tc>
          <w:tcPr>
            <w:tcW w:type="dxa" w:w="2324"/>
          </w:tcPr>
          <w:p>
            <w:pPr>
              <w:spacing w:after="0" w:line="240" w:lineRule="auto"/>
            </w:pPr>
            <w:r>
              <w:rPr>
                <w:b/>
                <w:sz w:val="18"/>
              </w:rPr>
              <w:t>Stanisław</w:t>
            </w:r>
          </w:p>
        </w:tc>
        <w:tc>
          <w:tcPr>
            <w:tcW w:type="dxa" w:w="2324"/>
          </w:tcPr>
          <w:p>
            <w:pPr>
              <w:spacing w:after="0" w:line="240" w:lineRule="auto"/>
            </w:pPr>
            <w:r>
              <w:rPr>
                <w:sz w:val="18"/>
              </w:rPr>
              <w:t>Wiktoria Oleśnińska h. Ostoja / Salomea z Mycielina</w:t>
            </w:r>
          </w:p>
        </w:tc>
        <w:tc>
          <w:tcPr>
            <w:tcW w:type="dxa" w:w="2324"/>
          </w:tcPr>
          <w:p>
            <w:pPr>
              <w:spacing w:after="0" w:line="240" w:lineRule="auto"/>
            </w:pPr>
            <w:r>
              <w:rPr>
                <w:sz w:val="18"/>
              </w:rPr>
              <w:t>1657; †1679</w:t>
            </w:r>
          </w:p>
        </w:tc>
      </w:tr>
      <w:tr>
        <w:tc>
          <w:tcPr>
            <w:tcW w:type="dxa" w:w="2324"/>
          </w:tcPr>
          <w:p>
            <w:pPr>
              <w:spacing w:after="0" w:line="240" w:lineRule="auto"/>
            </w:pPr>
            <w:r>
              <w:rPr>
                <w:sz w:val="18"/>
              </w:rPr>
              <w:t>XIV</w:t>
            </w:r>
          </w:p>
        </w:tc>
        <w:tc>
          <w:tcPr>
            <w:tcW w:type="dxa" w:w="2324"/>
          </w:tcPr>
          <w:p>
            <w:pPr>
              <w:spacing w:after="0" w:line="240" w:lineRule="auto"/>
            </w:pPr>
            <w:r>
              <w:rPr>
                <w:b/>
                <w:sz w:val="18"/>
              </w:rPr>
              <w:t>Franciszek</w:t>
            </w:r>
            <w:r>
              <w:rPr>
                <w:sz w:val="18"/>
              </w:rPr>
              <w:t>, starosta szadkowski</w:t>
            </w:r>
          </w:p>
        </w:tc>
        <w:tc>
          <w:tcPr>
            <w:tcW w:type="dxa" w:w="2324"/>
          </w:tcPr>
          <w:p>
            <w:pPr>
              <w:spacing w:after="0" w:line="240" w:lineRule="auto"/>
            </w:pPr>
            <w:r>
              <w:rPr>
                <w:sz w:val="18"/>
              </w:rPr>
              <w:t>2° Niborowska h. Prawdzic</w:t>
            </w:r>
          </w:p>
        </w:tc>
        <w:tc>
          <w:tcPr>
            <w:tcW w:type="dxa" w:w="2324"/>
          </w:tcPr>
          <w:p>
            <w:pPr>
              <w:spacing w:after="0" w:line="240" w:lineRule="auto"/>
            </w:pPr>
          </w:p>
        </w:tc>
      </w:tr>
      <w:tr>
        <w:tc>
          <w:tcPr>
            <w:tcW w:type="dxa" w:w="2324"/>
          </w:tcPr>
          <w:p>
            <w:pPr>
              <w:spacing w:after="0" w:line="240" w:lineRule="auto"/>
            </w:pPr>
            <w:r>
              <w:rPr>
                <w:sz w:val="18"/>
              </w:rPr>
              <w:t>XV</w:t>
            </w:r>
          </w:p>
        </w:tc>
        <w:tc>
          <w:tcPr>
            <w:tcW w:type="dxa" w:w="2324"/>
          </w:tcPr>
          <w:p>
            <w:pPr>
              <w:spacing w:after="0" w:line="240" w:lineRule="auto"/>
            </w:pPr>
            <w:r>
              <w:rPr>
                <w:b/>
                <w:sz w:val="18"/>
              </w:rPr>
              <w:t>Michał</w:t>
            </w:r>
            <w:r>
              <w:rPr>
                <w:sz w:val="18"/>
              </w:rPr>
              <w:t>, kasztelan brzeziński</w:t>
            </w:r>
          </w:p>
        </w:tc>
        <w:tc>
          <w:tcPr>
            <w:tcW w:type="dxa" w:w="2324"/>
          </w:tcPr>
          <w:p>
            <w:pPr>
              <w:spacing w:after="0" w:line="240" w:lineRule="auto"/>
            </w:pPr>
            <w:r>
              <w:rPr>
                <w:sz w:val="18"/>
              </w:rPr>
              <w:t>Maria (Marianna) Olszewska h. Prus</w:t>
            </w:r>
          </w:p>
        </w:tc>
        <w:tc>
          <w:tcPr>
            <w:tcW w:type="dxa" w:w="2324"/>
          </w:tcPr>
          <w:p>
            <w:pPr>
              <w:spacing w:after="0" w:line="240" w:lineRule="auto"/>
            </w:pPr>
            <w:r>
              <w:rPr>
                <w:sz w:val="18"/>
              </w:rPr>
              <w:t>†1775</w:t>
            </w:r>
          </w:p>
        </w:tc>
      </w:tr>
      <w:tr>
        <w:tc>
          <w:tcPr>
            <w:tcW w:type="dxa" w:w="2324"/>
          </w:tcPr>
          <w:p>
            <w:pPr>
              <w:spacing w:after="0" w:line="240" w:lineRule="auto"/>
            </w:pPr>
            <w:r>
              <w:rPr>
                <w:sz w:val="18"/>
              </w:rPr>
              <w:t>XVI</w:t>
            </w:r>
          </w:p>
        </w:tc>
        <w:tc>
          <w:tcPr>
            <w:tcW w:type="dxa" w:w="2324"/>
          </w:tcPr>
          <w:p>
            <w:pPr>
              <w:spacing w:after="0" w:line="240" w:lineRule="auto"/>
            </w:pPr>
            <w:r>
              <w:rPr>
                <w:b/>
                <w:sz w:val="18"/>
              </w:rPr>
              <w:t>Roch</w:t>
            </w:r>
            <w:r>
              <w:rPr>
                <w:sz w:val="18"/>
              </w:rPr>
              <w:t>, kasztelanic</w:t>
            </w:r>
          </w:p>
        </w:tc>
        <w:tc>
          <w:tcPr>
            <w:tcW w:type="dxa" w:w="2324"/>
          </w:tcPr>
          <w:p>
            <w:pPr>
              <w:spacing w:after="0" w:line="240" w:lineRule="auto"/>
            </w:pPr>
            <w:r>
              <w:rPr>
                <w:sz w:val="18"/>
              </w:rPr>
              <w:t>Kunegunda Wierzchleyska h. Bernstein</w:t>
            </w:r>
          </w:p>
        </w:tc>
        <w:tc>
          <w:tcPr>
            <w:tcW w:type="dxa" w:w="2324"/>
          </w:tcPr>
          <w:p>
            <w:pPr>
              <w:spacing w:after="0" w:line="240" w:lineRule="auto"/>
            </w:pPr>
            <w:r>
              <w:rPr>
                <w:sz w:val="18"/>
              </w:rPr>
              <w:t>†1820</w:t>
            </w:r>
          </w:p>
        </w:tc>
      </w:tr>
      <w:tr>
        <w:tc>
          <w:tcPr>
            <w:tcW w:type="dxa" w:w="2324"/>
          </w:tcPr>
          <w:p>
            <w:pPr>
              <w:spacing w:after="0" w:line="240" w:lineRule="auto"/>
            </w:pPr>
            <w:r>
              <w:rPr>
                <w:sz w:val="18"/>
              </w:rPr>
              <w:t>XVII</w:t>
            </w:r>
          </w:p>
        </w:tc>
        <w:tc>
          <w:tcPr>
            <w:tcW w:type="dxa" w:w="2324"/>
          </w:tcPr>
          <w:p>
            <w:pPr>
              <w:spacing w:after="0" w:line="240" w:lineRule="auto"/>
            </w:pPr>
            <w:r>
              <w:rPr>
                <w:b/>
                <w:sz w:val="18"/>
              </w:rPr>
              <w:t>Franciszek</w:t>
            </w:r>
          </w:p>
        </w:tc>
        <w:tc>
          <w:tcPr>
            <w:tcW w:type="dxa" w:w="2324"/>
          </w:tcPr>
          <w:p>
            <w:pPr>
              <w:spacing w:after="0" w:line="240" w:lineRule="auto"/>
            </w:pPr>
            <w:r>
              <w:rPr>
                <w:sz w:val="18"/>
              </w:rPr>
              <w:t>Józefa Skrzyńska h. Zaremba</w:t>
            </w:r>
          </w:p>
        </w:tc>
        <w:tc>
          <w:tcPr>
            <w:tcW w:type="dxa" w:w="2324"/>
          </w:tcPr>
          <w:p>
            <w:pPr>
              <w:spacing w:after="0" w:line="240" w:lineRule="auto"/>
            </w:pPr>
            <w:r>
              <w:rPr>
                <w:sz w:val="18"/>
              </w:rPr>
              <w:t>1790–1846</w:t>
            </w:r>
          </w:p>
        </w:tc>
      </w:tr>
      <w:tr>
        <w:tc>
          <w:tcPr>
            <w:tcW w:type="dxa" w:w="2324"/>
          </w:tcPr>
          <w:p>
            <w:pPr>
              <w:spacing w:after="0" w:line="240" w:lineRule="auto"/>
            </w:pPr>
            <w:r>
              <w:rPr>
                <w:sz w:val="18"/>
              </w:rPr>
              <w:t>XVIII</w:t>
            </w:r>
          </w:p>
        </w:tc>
        <w:tc>
          <w:tcPr>
            <w:tcW w:type="dxa" w:w="2324"/>
          </w:tcPr>
          <w:p>
            <w:pPr>
              <w:spacing w:after="0" w:line="240" w:lineRule="auto"/>
            </w:pPr>
            <w:r>
              <w:rPr>
                <w:b/>
                <w:sz w:val="18"/>
              </w:rPr>
              <w:t>Józefat</w:t>
            </w:r>
          </w:p>
        </w:tc>
        <w:tc>
          <w:tcPr>
            <w:tcW w:type="dxa" w:w="2324"/>
          </w:tcPr>
          <w:p>
            <w:pPr>
              <w:spacing w:after="0" w:line="240" w:lineRule="auto"/>
            </w:pPr>
            <w:r>
              <w:rPr>
                <w:sz w:val="18"/>
              </w:rPr>
              <w:t>Teofila Szeliska h. Szeliga</w:t>
            </w:r>
          </w:p>
        </w:tc>
        <w:tc>
          <w:tcPr>
            <w:tcW w:type="dxa" w:w="2324"/>
          </w:tcPr>
          <w:p>
            <w:pPr>
              <w:spacing w:after="0" w:line="240" w:lineRule="auto"/>
            </w:pPr>
            <w:r>
              <w:rPr>
                <w:sz w:val="18"/>
              </w:rPr>
              <w:t>1830–1892</w:t>
            </w:r>
          </w:p>
        </w:tc>
      </w:tr>
      <w:tr>
        <w:tc>
          <w:tcPr>
            <w:tcW w:type="dxa" w:w="2324"/>
          </w:tcPr>
          <w:p>
            <w:pPr>
              <w:spacing w:after="0" w:line="240" w:lineRule="auto"/>
            </w:pPr>
            <w:r>
              <w:rPr>
                <w:sz w:val="18"/>
              </w:rPr>
              <w:t>XIX</w:t>
            </w:r>
          </w:p>
        </w:tc>
        <w:tc>
          <w:tcPr>
            <w:tcW w:type="dxa" w:w="2324"/>
          </w:tcPr>
          <w:p>
            <w:pPr>
              <w:spacing w:after="0" w:line="240" w:lineRule="auto"/>
            </w:pPr>
            <w:r>
              <w:rPr>
                <w:b/>
                <w:sz w:val="18"/>
              </w:rPr>
              <w:t>Michał Edmund</w:t>
            </w:r>
          </w:p>
        </w:tc>
        <w:tc>
          <w:tcPr>
            <w:tcW w:type="dxa" w:w="2324"/>
          </w:tcPr>
          <w:p>
            <w:pPr>
              <w:spacing w:after="0" w:line="240" w:lineRule="auto"/>
            </w:pPr>
            <w:r>
              <w:rPr>
                <w:sz w:val="18"/>
              </w:rPr>
              <w:t>Ewelina z Drohojowskich h. Korczak</w:t>
            </w:r>
          </w:p>
        </w:tc>
        <w:tc>
          <w:tcPr>
            <w:tcW w:type="dxa" w:w="2324"/>
          </w:tcPr>
          <w:p>
            <w:pPr>
              <w:spacing w:after="0" w:line="240" w:lineRule="auto"/>
            </w:pPr>
            <w:r>
              <w:rPr>
                <w:sz w:val="18"/>
              </w:rPr>
              <w:t>1865–1942</w:t>
            </w:r>
          </w:p>
        </w:tc>
      </w:tr>
      <w:tr>
        <w:tc>
          <w:tcPr>
            <w:tcW w:type="dxa" w:w="2324"/>
          </w:tcPr>
          <w:p>
            <w:pPr>
              <w:spacing w:after="0" w:line="240" w:lineRule="auto"/>
            </w:pPr>
            <w:r>
              <w:rPr>
                <w:sz w:val="18"/>
              </w:rPr>
              <w:t>XX</w:t>
            </w:r>
          </w:p>
        </w:tc>
        <w:tc>
          <w:tcPr>
            <w:tcW w:type="dxa" w:w="2324"/>
          </w:tcPr>
          <w:p>
            <w:pPr>
              <w:spacing w:after="0" w:line="240" w:lineRule="auto"/>
            </w:pPr>
            <w:r>
              <w:rPr>
                <w:b/>
                <w:sz w:val="18"/>
              </w:rPr>
              <w:t>Jerzy Józefat</w:t>
            </w:r>
          </w:p>
        </w:tc>
        <w:tc>
          <w:tcPr>
            <w:tcW w:type="dxa" w:w="2324"/>
          </w:tcPr>
          <w:p>
            <w:pPr>
              <w:spacing w:after="0" w:line="240" w:lineRule="auto"/>
            </w:pPr>
            <w:r>
              <w:rPr>
                <w:sz w:val="18"/>
              </w:rPr>
              <w:t>Anna Maria z Prządzyńskich h. Grzymała</w:t>
            </w:r>
          </w:p>
        </w:tc>
        <w:tc>
          <w:tcPr>
            <w:tcW w:type="dxa" w:w="2324"/>
          </w:tcPr>
          <w:p>
            <w:pPr>
              <w:spacing w:after="0" w:line="240" w:lineRule="auto"/>
            </w:pPr>
            <w:r>
              <w:rPr>
                <w:sz w:val="18"/>
              </w:rPr>
              <w:t>1902–1967</w:t>
            </w:r>
          </w:p>
        </w:tc>
      </w:tr>
      <w:tr>
        <w:tc>
          <w:tcPr>
            <w:tcW w:type="dxa" w:w="2324"/>
          </w:tcPr>
          <w:p>
            <w:pPr>
              <w:spacing w:after="0" w:line="240" w:lineRule="auto"/>
            </w:pPr>
            <w:r>
              <w:rPr>
                <w:sz w:val="18"/>
              </w:rPr>
              <w:t>XXI</w:t>
            </w:r>
          </w:p>
        </w:tc>
        <w:tc>
          <w:tcPr>
            <w:tcW w:type="dxa" w:w="2324"/>
          </w:tcPr>
          <w:p>
            <w:pPr>
              <w:spacing w:after="0" w:line="240" w:lineRule="auto"/>
            </w:pPr>
            <w:r>
              <w:rPr>
                <w:sz w:val="18"/>
              </w:rPr>
              <w:t>Andrzej Michał</w:t>
            </w:r>
          </w:p>
        </w:tc>
        <w:tc>
          <w:tcPr>
            <w:tcW w:type="dxa" w:w="2324"/>
          </w:tcPr>
          <w:p>
            <w:pPr>
              <w:spacing w:after="0" w:line="240" w:lineRule="auto"/>
            </w:pPr>
            <w:r>
              <w:rPr>
                <w:sz w:val="18"/>
              </w:rPr>
              <w:t>Halina Lewandowska</w:t>
            </w:r>
          </w:p>
        </w:tc>
        <w:tc>
          <w:tcPr>
            <w:tcW w:type="dxa" w:w="2324"/>
          </w:tcPr>
          <w:p>
            <w:pPr>
              <w:spacing w:after="0" w:line="240" w:lineRule="auto"/>
            </w:pPr>
            <w:r>
              <w:rPr>
                <w:sz w:val="18"/>
              </w:rPr>
              <w:t>ur. 1938</w:t>
            </w:r>
          </w:p>
        </w:tc>
      </w:tr>
      <w:tr>
        <w:tc>
          <w:tcPr>
            <w:tcW w:type="dxa" w:w="2324"/>
          </w:tcPr>
          <w:p>
            <w:pPr>
              <w:spacing w:after="0" w:line="240" w:lineRule="auto"/>
            </w:pPr>
            <w:r>
              <w:rPr>
                <w:sz w:val="18"/>
              </w:rPr>
              <w:t>XXII</w:t>
            </w:r>
          </w:p>
        </w:tc>
        <w:tc>
          <w:tcPr>
            <w:tcW w:type="dxa" w:w="2324"/>
          </w:tcPr>
          <w:p>
            <w:pPr>
              <w:spacing w:after="0" w:line="240" w:lineRule="auto"/>
            </w:pPr>
            <w:r>
              <w:rPr>
                <w:sz w:val="18"/>
              </w:rPr>
              <w:t>Agnieszka, Anna</w:t>
            </w:r>
          </w:p>
        </w:tc>
        <w:tc>
          <w:tcPr>
            <w:tcW w:type="dxa" w:w="2324"/>
          </w:tcPr>
          <w:p>
            <w:pPr>
              <w:spacing w:after="0" w:line="240" w:lineRule="auto"/>
            </w:pPr>
          </w:p>
        </w:tc>
        <w:tc>
          <w:tcPr>
            <w:tcW w:type="dxa" w:w="2324"/>
          </w:tcPr>
          <w:p>
            <w:pPr>
              <w:spacing w:after="0" w:line="240" w:lineRule="auto"/>
            </w:pPr>
            <w:r>
              <w:rPr>
                <w:sz w:val="18"/>
              </w:rPr>
              <w:t>ur. 1968, 1971</w:t>
            </w:r>
          </w:p>
        </w:tc>
      </w:tr>
    </w:tbl>
    <w:p>
      <w:pPr>
        <w:spacing w:after="40"/>
      </w:pPr>
    </w:p>
    <w:p>
      <w:r>
        <w:rPr/>
        <w:t>Między pokoleniami XII a XVI zapiski rodzinne podają jedno ogniwo na pokolenie. Odstęp czasu (1641 → 1775) jest duży jak na trzy pokolenia, więc w tej części drzewa mogło zabraknąć któregoś ogniwa. To uwaga opracowującego, wymaga sprawdzenia w herbarzach (Niesiecki, Uruski, Dunin-Borkowski).</w:t>
      </w:r>
    </w:p>
    <w:p>
      <w:pPr>
        <w:pStyle w:val="Heading1"/>
        <w:pageBreakBefore/>
      </w:pPr>
      <w:r>
        <w:rPr/>
        <w:t>Aneks B. Źródła</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3099"/>
            <w:shd w:val="clear" w:fill="EFE8DC"/>
          </w:tcPr>
          <w:p>
            <w:pPr>
              <w:spacing w:after="0" w:line="240" w:lineRule="auto"/>
            </w:pPr>
            <w:r>
              <w:rPr>
                <w:b/>
                <w:sz w:val="18"/>
              </w:rPr>
              <w:t>Symbol</w:t>
            </w:r>
          </w:p>
        </w:tc>
        <w:tc>
          <w:tcPr>
            <w:tcW w:type="dxa" w:w="3099"/>
            <w:shd w:val="clear" w:fill="EFE8DC"/>
          </w:tcPr>
          <w:p>
            <w:pPr>
              <w:spacing w:after="0" w:line="240" w:lineRule="auto"/>
            </w:pPr>
            <w:r>
              <w:rPr>
                <w:b/>
                <w:sz w:val="18"/>
              </w:rPr>
              <w:t>Źródło</w:t>
            </w:r>
          </w:p>
        </w:tc>
        <w:tc>
          <w:tcPr>
            <w:tcW w:type="dxa" w:w="3099"/>
            <w:shd w:val="clear" w:fill="EFE8DC"/>
          </w:tcPr>
          <w:p>
            <w:pPr>
              <w:spacing w:after="0" w:line="240" w:lineRule="auto"/>
            </w:pPr>
            <w:r>
              <w:rPr>
                <w:b/>
                <w:sz w:val="18"/>
              </w:rPr>
              <w:t>Opis</w:t>
            </w:r>
          </w:p>
        </w:tc>
      </w:tr>
      <w:tr>
        <w:tc>
          <w:tcPr>
            <w:tcW w:type="dxa" w:w="3099"/>
          </w:tcPr>
          <w:p>
            <w:pPr>
              <w:spacing w:after="0" w:line="240" w:lineRule="auto"/>
            </w:pPr>
            <w:r>
              <w:rPr>
                <w:b/>
                <w:sz w:val="18"/>
              </w:rPr>
              <w:t>S01</w:t>
            </w:r>
          </w:p>
        </w:tc>
        <w:tc>
          <w:tcPr>
            <w:tcW w:type="dxa" w:w="3099"/>
          </w:tcPr>
          <w:p>
            <w:pPr>
              <w:spacing w:after="0" w:line="240" w:lineRule="auto"/>
            </w:pPr>
            <w:r>
              <w:rPr>
                <w:sz w:val="18"/>
              </w:rPr>
              <w:t xml:space="preserve">Ad. Am. Kosiński, </w:t>
            </w:r>
            <w:r>
              <w:rPr>
                <w:i/>
                <w:sz w:val="18"/>
              </w:rPr>
              <w:t>Przewodnik heraldyczny. Monografie, genealogie i spis rodzin senatorskich i tytuły honorowe posiadających</w:t>
            </w:r>
            <w:r>
              <w:rPr>
                <w:sz w:val="18"/>
              </w:rPr>
              <w:t>, t. V, Warszawa 1885, s. 132–145</w:t>
            </w:r>
          </w:p>
        </w:tc>
        <w:tc>
          <w:tcPr>
            <w:tcW w:type="dxa" w:w="3099"/>
          </w:tcPr>
          <w:p>
            <w:pPr>
              <w:spacing w:after="0" w:line="240" w:lineRule="auto"/>
            </w:pPr>
            <w:r>
              <w:rPr>
                <w:sz w:val="18"/>
              </w:rPr>
              <w:t>druk; dodatek o Radoszewskich do hasła Grabowskich: drzewo z pocz. XVII w. z przypisami Kosińskiego; egzemplarz rodzinny z odręcznymi znakami; 8 zdjęć</w:t>
            </w:r>
          </w:p>
        </w:tc>
      </w:tr>
      <w:tr>
        <w:tc>
          <w:tcPr>
            <w:tcW w:type="dxa" w:w="3099"/>
          </w:tcPr>
          <w:p>
            <w:pPr>
              <w:spacing w:after="0" w:line="240" w:lineRule="auto"/>
            </w:pPr>
            <w:r>
              <w:rPr>
                <w:b/>
                <w:sz w:val="18"/>
              </w:rPr>
              <w:t>S02</w:t>
            </w:r>
          </w:p>
        </w:tc>
        <w:tc>
          <w:tcPr>
            <w:tcW w:type="dxa" w:w="3099"/>
          </w:tcPr>
          <w:p>
            <w:pPr>
              <w:spacing w:after="0" w:line="240" w:lineRule="auto"/>
            </w:pPr>
            <w:r>
              <w:rPr>
                <w:sz w:val="18"/>
              </w:rPr>
              <w:t xml:space="preserve">Stefan Łakomy, </w:t>
            </w:r>
            <w:r>
              <w:rPr>
                <w:i/>
                <w:sz w:val="18"/>
              </w:rPr>
              <w:t>Z dziejów Radoszewic</w:t>
            </w:r>
            <w:r>
              <w:rPr>
                <w:sz w:val="18"/>
              </w:rPr>
              <w:t>, cz. I, Radoszewice 1981</w:t>
            </w:r>
          </w:p>
        </w:tc>
        <w:tc>
          <w:tcPr>
            <w:tcW w:type="dxa" w:w="3099"/>
          </w:tcPr>
          <w:p>
            <w:pPr>
              <w:spacing w:after="0" w:line="240" w:lineRule="auto"/>
            </w:pPr>
            <w:r>
              <w:rPr>
                <w:sz w:val="18"/>
              </w:rPr>
              <w:t>rękopis, 23 strony; dzieje wsi, Radoszewscy, rokosz Zebrzydowskiego, Niemojowscy; 24 zdjęcia</w:t>
            </w:r>
          </w:p>
        </w:tc>
      </w:tr>
      <w:tr>
        <w:tc>
          <w:tcPr>
            <w:tcW w:type="dxa" w:w="3099"/>
          </w:tcPr>
          <w:p>
            <w:pPr>
              <w:spacing w:after="0" w:line="240" w:lineRule="auto"/>
            </w:pPr>
            <w:r>
              <w:rPr>
                <w:b/>
                <w:sz w:val="18"/>
              </w:rPr>
              <w:t>S03</w:t>
            </w:r>
          </w:p>
        </w:tc>
        <w:tc>
          <w:tcPr>
            <w:tcW w:type="dxa" w:w="3099"/>
          </w:tcPr>
          <w:p>
            <w:pPr>
              <w:spacing w:after="0" w:line="240" w:lineRule="auto"/>
            </w:pPr>
            <w:r>
              <w:rPr>
                <w:i/>
                <w:sz w:val="18"/>
              </w:rPr>
              <w:t>The History of Our Family</w:t>
            </w:r>
            <w:r>
              <w:rPr>
                <w:sz w:val="18"/>
              </w:rPr>
              <w:t xml:space="preserve"> — księga rodzinna Teresy Boxa Radoszewskiej-Zielińskiej</w:t>
            </w:r>
          </w:p>
        </w:tc>
        <w:tc>
          <w:tcPr>
            <w:tcW w:type="dxa" w:w="3099"/>
          </w:tcPr>
          <w:p>
            <w:pPr>
              <w:spacing w:after="0" w:line="240" w:lineRule="auto"/>
            </w:pPr>
            <w:r>
              <w:rPr>
                <w:sz w:val="18"/>
              </w:rPr>
              <w:t>rękopis, ok. 1974–1996, z późniejszymi dopiskami; drzewa, krewni, groby, domy, kalendarz rodzinny; 54 zdjęcia</w:t>
            </w:r>
          </w:p>
        </w:tc>
      </w:tr>
      <w:tr>
        <w:tc>
          <w:tcPr>
            <w:tcW w:type="dxa" w:w="3099"/>
          </w:tcPr>
          <w:p>
            <w:pPr>
              <w:spacing w:after="0" w:line="240" w:lineRule="auto"/>
            </w:pPr>
            <w:r>
              <w:rPr>
                <w:b/>
                <w:sz w:val="18"/>
              </w:rPr>
              <w:t>S04</w:t>
            </w:r>
          </w:p>
        </w:tc>
        <w:tc>
          <w:tcPr>
            <w:tcW w:type="dxa" w:w="3099"/>
          </w:tcPr>
          <w:p>
            <w:pPr>
              <w:spacing w:after="0" w:line="240" w:lineRule="auto"/>
            </w:pPr>
            <w:r>
              <w:rPr>
                <w:sz w:val="18"/>
              </w:rPr>
              <w:t>„Jerzy Radoszewski Boxa h. Oksza 1902+1967”</w:t>
            </w:r>
          </w:p>
        </w:tc>
        <w:tc>
          <w:tcPr>
            <w:tcW w:type="dxa" w:w="3099"/>
          </w:tcPr>
          <w:p>
            <w:pPr>
              <w:spacing w:after="0" w:line="240" w:lineRule="auto"/>
            </w:pPr>
            <w:r>
              <w:rPr>
                <w:sz w:val="18"/>
              </w:rPr>
              <w:t>luźna kartka, autor nieznany; biogram Jerzego; 2 zdjęcia</w:t>
            </w:r>
          </w:p>
        </w:tc>
      </w:tr>
      <w:tr>
        <w:tc>
          <w:tcPr>
            <w:tcW w:type="dxa" w:w="3099"/>
          </w:tcPr>
          <w:p>
            <w:pPr>
              <w:spacing w:after="0" w:line="240" w:lineRule="auto"/>
            </w:pPr>
            <w:r>
              <w:rPr>
                <w:b/>
                <w:sz w:val="18"/>
              </w:rPr>
              <w:t>S05</w:t>
            </w:r>
          </w:p>
        </w:tc>
        <w:tc>
          <w:tcPr>
            <w:tcW w:type="dxa" w:w="3099"/>
          </w:tcPr>
          <w:p>
            <w:pPr>
              <w:spacing w:after="0" w:line="240" w:lineRule="auto"/>
            </w:pPr>
            <w:r>
              <w:rPr>
                <w:sz w:val="18"/>
              </w:rPr>
              <w:t>„Kaplica Boxa Radoszewskich na cmentarzu w Uniejowie…”</w:t>
            </w:r>
          </w:p>
        </w:tc>
        <w:tc>
          <w:tcPr>
            <w:tcW w:type="dxa" w:w="3099"/>
          </w:tcPr>
          <w:p>
            <w:pPr>
              <w:spacing w:after="0" w:line="240" w:lineRule="auto"/>
            </w:pPr>
            <w:r>
              <w:rPr>
                <w:sz w:val="18"/>
              </w:rPr>
              <w:t>luźna kartka, autor nieznany; pochowani w krypcie, duchowni, dzieje Krempy; 2 zdjęcia</w:t>
            </w:r>
          </w:p>
        </w:tc>
      </w:tr>
      <w:tr>
        <w:tc>
          <w:tcPr>
            <w:tcW w:type="dxa" w:w="3099"/>
          </w:tcPr>
          <w:p>
            <w:pPr>
              <w:spacing w:after="0" w:line="240" w:lineRule="auto"/>
            </w:pPr>
            <w:r>
              <w:rPr>
                <w:b/>
                <w:sz w:val="18"/>
              </w:rPr>
              <w:t>S06</w:t>
            </w:r>
          </w:p>
        </w:tc>
        <w:tc>
          <w:tcPr>
            <w:tcW w:type="dxa" w:w="3099"/>
          </w:tcPr>
          <w:p>
            <w:pPr>
              <w:spacing w:after="0" w:line="240" w:lineRule="auto"/>
            </w:pPr>
            <w:r>
              <w:rPr>
                <w:sz w:val="18"/>
              </w:rPr>
              <w:t>Bibliografia (spis lektur o rodzinie)</w:t>
            </w:r>
          </w:p>
        </w:tc>
        <w:tc>
          <w:tcPr>
            <w:tcW w:type="dxa" w:w="3099"/>
          </w:tcPr>
          <w:p>
            <w:pPr>
              <w:spacing w:after="0" w:line="240" w:lineRule="auto"/>
            </w:pPr>
            <w:r>
              <w:rPr>
                <w:sz w:val="18"/>
              </w:rPr>
              <w:t>luźna kartka, autor nieznany; 1 zdjęcie</w:t>
            </w:r>
          </w:p>
        </w:tc>
      </w:tr>
      <w:tr>
        <w:tc>
          <w:tcPr>
            <w:tcW w:type="dxa" w:w="3099"/>
          </w:tcPr>
          <w:p>
            <w:pPr>
              <w:spacing w:after="0" w:line="240" w:lineRule="auto"/>
            </w:pPr>
            <w:r>
              <w:rPr>
                <w:b/>
                <w:sz w:val="18"/>
              </w:rPr>
              <w:t>S07</w:t>
            </w:r>
          </w:p>
        </w:tc>
        <w:tc>
          <w:tcPr>
            <w:tcW w:type="dxa" w:w="3099"/>
          </w:tcPr>
          <w:p>
            <w:pPr>
              <w:spacing w:after="0" w:line="240" w:lineRule="auto"/>
            </w:pPr>
            <w:r>
              <w:rPr>
                <w:sz w:val="18"/>
              </w:rPr>
              <w:t>Zeszyt wspomnień i genealogii rodzin Radoszewskich, Prządzyńskich, Drohojowskich, Grabińskich</w:t>
            </w:r>
          </w:p>
        </w:tc>
        <w:tc>
          <w:tcPr>
            <w:tcW w:type="dxa" w:w="3099"/>
          </w:tcPr>
          <w:p>
            <w:pPr>
              <w:spacing w:after="0" w:line="240" w:lineRule="auto"/>
            </w:pPr>
            <w:r>
              <w:rPr>
                <w:sz w:val="18"/>
              </w:rPr>
              <w:t>rękopis, najpewniej Anny z Prządzyńskich Radoszewskiej (po 2005 r.?); najobszerniejsze źródło rodzinne; 61 zdjęć</w:t>
            </w:r>
          </w:p>
        </w:tc>
      </w:tr>
      <w:tr>
        <w:tc>
          <w:tcPr>
            <w:tcW w:type="dxa" w:w="3099"/>
          </w:tcPr>
          <w:p>
            <w:pPr>
              <w:spacing w:after="0" w:line="240" w:lineRule="auto"/>
            </w:pPr>
            <w:r>
              <w:rPr>
                <w:b/>
                <w:sz w:val="18"/>
              </w:rPr>
              <w:t>S08</w:t>
            </w:r>
          </w:p>
        </w:tc>
        <w:tc>
          <w:tcPr>
            <w:tcW w:type="dxa" w:w="3099"/>
          </w:tcPr>
          <w:p>
            <w:pPr>
              <w:spacing w:after="0" w:line="240" w:lineRule="auto"/>
            </w:pPr>
            <w:r>
              <w:rPr>
                <w:sz w:val="18"/>
              </w:rPr>
              <w:t xml:space="preserve">Leszek Kajzer, </w:t>
            </w:r>
            <w:r>
              <w:rPr>
                <w:i/>
                <w:sz w:val="18"/>
              </w:rPr>
              <w:t>Pałace i dwory w dawnym województwie sieradzkim</w:t>
            </w:r>
            <w:r>
              <w:rPr>
                <w:sz w:val="18"/>
              </w:rPr>
              <w:t>, t. 2, ok. 1991</w:t>
            </w:r>
          </w:p>
        </w:tc>
        <w:tc>
          <w:tcPr>
            <w:tcW w:type="dxa" w:w="3099"/>
          </w:tcPr>
          <w:p>
            <w:pPr>
              <w:spacing w:after="0" w:line="240" w:lineRule="auto"/>
            </w:pPr>
            <w:r>
              <w:rPr>
                <w:sz w:val="18"/>
              </w:rPr>
              <w:t>druk; hasła Kościerzyn (s. 57–70), Krempa (s. 71–78), Radoszewice (s. 123–137), Siemkowice (s. 139–152); 53 zdjęcia</w:t>
            </w:r>
          </w:p>
        </w:tc>
      </w:tr>
      <w:tr>
        <w:tc>
          <w:tcPr>
            <w:tcW w:type="dxa" w:w="3099"/>
          </w:tcPr>
          <w:p>
            <w:pPr>
              <w:spacing w:after="0" w:line="240" w:lineRule="auto"/>
            </w:pPr>
            <w:r>
              <w:rPr>
                <w:b/>
                <w:sz w:val="18"/>
              </w:rPr>
              <w:t>S09</w:t>
            </w:r>
          </w:p>
        </w:tc>
        <w:tc>
          <w:tcPr>
            <w:tcW w:type="dxa" w:w="3099"/>
          </w:tcPr>
          <w:p>
            <w:pPr>
              <w:spacing w:after="0" w:line="240" w:lineRule="auto"/>
            </w:pPr>
            <w:r>
              <w:rPr>
                <w:sz w:val="18"/>
              </w:rPr>
              <w:t>„szlak przodków Boxa-Radoszewskich”</w:t>
            </w:r>
          </w:p>
        </w:tc>
        <w:tc>
          <w:tcPr>
            <w:tcW w:type="dxa" w:w="3099"/>
          </w:tcPr>
          <w:p>
            <w:pPr>
              <w:spacing w:after="0" w:line="240" w:lineRule="auto"/>
            </w:pPr>
            <w:r>
              <w:rPr>
                <w:sz w:val="18"/>
              </w:rPr>
              <w:t>odręczny szkic trasy z 8 VII 2017; 1 zdjęcie</w:t>
            </w:r>
          </w:p>
        </w:tc>
      </w:tr>
      <w:tr>
        <w:tc>
          <w:tcPr>
            <w:tcW w:type="dxa" w:w="3099"/>
          </w:tcPr>
          <w:p>
            <w:pPr>
              <w:spacing w:after="0" w:line="240" w:lineRule="auto"/>
            </w:pPr>
            <w:r>
              <w:rPr>
                <w:b/>
                <w:sz w:val="18"/>
              </w:rPr>
              <w:t>S10</w:t>
            </w:r>
          </w:p>
        </w:tc>
        <w:tc>
          <w:tcPr>
            <w:tcW w:type="dxa" w:w="3099"/>
          </w:tcPr>
          <w:p>
            <w:pPr>
              <w:spacing w:after="0" w:line="240" w:lineRule="auto"/>
            </w:pPr>
            <w:r>
              <w:rPr>
                <w:sz w:val="18"/>
              </w:rPr>
              <w:t xml:space="preserve">Stefan Łakomy, </w:t>
            </w:r>
            <w:r>
              <w:rPr>
                <w:i/>
                <w:sz w:val="18"/>
              </w:rPr>
              <w:t>Dwór i założenia parkowe w Radoszewicach k. Wielunia</w:t>
            </w:r>
            <w:r>
              <w:rPr>
                <w:sz w:val="18"/>
              </w:rPr>
              <w:t>, Radoszewice 1978</w:t>
            </w:r>
          </w:p>
        </w:tc>
        <w:tc>
          <w:tcPr>
            <w:tcW w:type="dxa" w:w="3099"/>
          </w:tcPr>
          <w:p>
            <w:pPr>
              <w:spacing w:after="0" w:line="240" w:lineRule="auto"/>
            </w:pPr>
            <w:r>
              <w:rPr>
                <w:sz w:val="18"/>
              </w:rPr>
              <w:t>rękopis, praca PTTK „Polska naszych dni”, 9 stron; 9 zdjęć</w:t>
            </w:r>
          </w:p>
        </w:tc>
      </w:tr>
    </w:tbl>
    <w:p>
      <w:pPr>
        <w:spacing w:after="40"/>
      </w:pPr>
    </w:p>
    <w:p>
      <w:r>
        <w:rPr/>
        <w:t>Wszystkie źródła sfotografowano (215 zdjęć) i przepisano wiernie, strona po stronie (</w:t>
      </w:r>
      <w:r>
        <w:rPr>
          <w:rFonts w:ascii="Consolas" w:hAnsi="Consolas"/>
          <w:sz w:val="19"/>
        </w:rPr>
        <w:t>zrodla/transkrypcje/</w:t>
      </w:r>
      <w:r>
        <w:rPr/>
        <w:t>). Na stronie internetowej rodziny każde zdjęcie strony wyświetla się obok odczytu.</w:t>
      </w:r>
    </w:p>
    <w:p>
      <w:pPr>
        <w:pStyle w:val="Heading1"/>
        <w:pageBreakBefore/>
      </w:pPr>
      <w:r>
        <w:rPr/>
        <w:t>Aneks C. Literatura przywoływana w źródłach</w:t>
      </w:r>
    </w:p>
    <w:p>
      <w:r>
        <w:rPr/>
        <w:t>Autorzy zapisek i opracowań powołują się m.in. na następujące prace:</w:t>
      </w:r>
      <w:r>
        <w:rPr>
          <w:rStyle w:val="FootnoteReference"/>
        </w:rPr>
        <w:footnoteReference w:id="250"/>
      </w:r>
    </w:p>
    <w:p>
      <w:pPr>
        <w:pStyle w:val="ListBullet"/>
        <w:spacing w:after="60"/>
      </w:pPr>
      <w:r>
        <w:rPr/>
        <w:t xml:space="preserve">B. Paprocki, </w:t>
      </w:r>
      <w:r>
        <w:rPr>
          <w:i/>
        </w:rPr>
        <w:t>Herby rycerstwa polskiego</w:t>
      </w:r>
      <w:r>
        <w:rPr/>
        <w:t xml:space="preserve"> (1584);</w:t>
      </w:r>
    </w:p>
    <w:p>
      <w:pPr>
        <w:pStyle w:val="ListBullet"/>
        <w:spacing w:after="60"/>
      </w:pPr>
      <w:r>
        <w:rPr/>
        <w:t xml:space="preserve">K. Niesiecki, </w:t>
      </w:r>
      <w:r>
        <w:rPr>
          <w:i/>
        </w:rPr>
        <w:t>Herbarz polski</w:t>
      </w:r>
      <w:r>
        <w:rPr/>
        <w:t>;</w:t>
      </w:r>
    </w:p>
    <w:p>
      <w:pPr>
        <w:pStyle w:val="ListBullet"/>
        <w:spacing w:after="60"/>
      </w:pPr>
      <w:r>
        <w:rPr/>
        <w:t>S. Okolski (herbarz);</w:t>
      </w:r>
    </w:p>
    <w:p>
      <w:pPr>
        <w:pStyle w:val="ListBullet"/>
        <w:spacing w:after="60"/>
      </w:pPr>
      <w:r>
        <w:rPr/>
        <w:t xml:space="preserve">S. Uruski, </w:t>
      </w:r>
      <w:r>
        <w:rPr>
          <w:i/>
        </w:rPr>
        <w:t>Rodzina. Herbarz szlachty polskiej</w:t>
      </w:r>
      <w:r>
        <w:rPr/>
        <w:t>;</w:t>
      </w:r>
    </w:p>
    <w:p>
      <w:pPr>
        <w:pStyle w:val="ListBullet"/>
        <w:spacing w:after="60"/>
      </w:pPr>
      <w:r>
        <w:rPr/>
        <w:t xml:space="preserve">J. Dunin-Borkowski, </w:t>
      </w:r>
      <w:r>
        <w:rPr>
          <w:i/>
        </w:rPr>
        <w:t>Genealogie żyjących utytułowanych rodów polskich</w:t>
      </w:r>
      <w:r>
        <w:rPr/>
        <w:t xml:space="preserve"> i </w:t>
      </w:r>
      <w:r>
        <w:rPr>
          <w:i/>
        </w:rPr>
        <w:t>Almanach Błękitny</w:t>
      </w:r>
      <w:r>
        <w:rPr/>
        <w:t xml:space="preserve"> (1908; Drohojowscy s. 321, Radoszewscy s. 1109);</w:t>
      </w:r>
    </w:p>
    <w:p>
      <w:pPr>
        <w:pStyle w:val="ListBullet"/>
        <w:spacing w:after="60"/>
      </w:pPr>
      <w:r>
        <w:rPr>
          <w:i/>
        </w:rPr>
        <w:t>Polska encyklopedia szlachecka</w:t>
      </w:r>
      <w:r>
        <w:rPr/>
        <w:t>, t. III;</w:t>
      </w:r>
    </w:p>
    <w:p>
      <w:pPr>
        <w:pStyle w:val="ListBullet"/>
        <w:spacing w:after="60"/>
      </w:pPr>
      <w:r>
        <w:rPr>
          <w:i/>
        </w:rPr>
        <w:t>Słownik geograficzny Królestwa Polskiego</w:t>
      </w:r>
      <w:r>
        <w:rPr/>
        <w:t xml:space="preserve"> (t. IV i IX);</w:t>
      </w:r>
    </w:p>
    <w:p>
      <w:pPr>
        <w:pStyle w:val="ListBullet"/>
        <w:spacing w:after="60"/>
      </w:pPr>
      <w:r>
        <w:rPr/>
        <w:t xml:space="preserve">W. Szczygielski, </w:t>
      </w:r>
      <w:r>
        <w:rPr>
          <w:i/>
        </w:rPr>
        <w:t>Dzieje Ziemi Wieluńskiej</w:t>
      </w:r>
      <w:r>
        <w:rPr/>
        <w:t xml:space="preserve"> (Łódź 1969) i </w:t>
      </w:r>
      <w:r>
        <w:rPr>
          <w:i/>
        </w:rPr>
        <w:t>Produkcja rolnicza gospodarstwa folwarcznego w Wieluńskim</w:t>
      </w:r>
      <w:r>
        <w:rPr/>
        <w:t xml:space="preserve"> (1963);</w:t>
      </w:r>
    </w:p>
    <w:p>
      <w:pPr>
        <w:pStyle w:val="ListBullet"/>
        <w:spacing w:after="60"/>
      </w:pPr>
      <w:r>
        <w:rPr/>
        <w:t xml:space="preserve">R. Rosin, </w:t>
      </w:r>
      <w:r>
        <w:rPr>
          <w:i/>
        </w:rPr>
        <w:t>Ziemia wieluńska w XII–XVI w.</w:t>
      </w:r>
      <w:r>
        <w:rPr/>
        <w:t xml:space="preserve"> (Łódź 1961);</w:t>
      </w:r>
    </w:p>
    <w:p>
      <w:pPr>
        <w:pStyle w:val="ListBullet"/>
        <w:spacing w:after="60"/>
      </w:pPr>
      <w:r>
        <w:rPr/>
        <w:t xml:space="preserve">ks. W. Prygodzki, </w:t>
      </w:r>
      <w:r>
        <w:rPr>
          <w:i/>
        </w:rPr>
        <w:t>Z przeszłości Wielunia</w:t>
      </w:r>
      <w:r>
        <w:rPr/>
        <w:t xml:space="preserve"> (Częstochowa 1928);</w:t>
      </w:r>
    </w:p>
    <w:p>
      <w:pPr>
        <w:pStyle w:val="ListBullet"/>
        <w:spacing w:after="60"/>
      </w:pPr>
      <w:r>
        <w:rPr/>
        <w:t xml:space="preserve">ks. S. Nejman, </w:t>
      </w:r>
      <w:r>
        <w:rPr>
          <w:i/>
        </w:rPr>
        <w:t>Cudowny obraz Matki B. Pajęczańskiej</w:t>
      </w:r>
      <w:r>
        <w:rPr/>
        <w:t>;</w:t>
      </w:r>
    </w:p>
    <w:p>
      <w:pPr>
        <w:pStyle w:val="ListBullet"/>
        <w:spacing w:after="60"/>
      </w:pPr>
      <w:r>
        <w:rPr/>
        <w:t xml:space="preserve">ks. K. Korczyński, </w:t>
      </w:r>
      <w:r>
        <w:rPr>
          <w:i/>
        </w:rPr>
        <w:t>Katedra kijowska</w:t>
      </w:r>
      <w:r>
        <w:rPr/>
        <w:t>;</w:t>
      </w:r>
    </w:p>
    <w:p>
      <w:pPr>
        <w:pStyle w:val="ListBullet"/>
        <w:spacing w:after="60"/>
      </w:pPr>
      <w:r>
        <w:rPr/>
        <w:t xml:space="preserve">ks. P. Nitecki, </w:t>
      </w:r>
      <w:r>
        <w:rPr>
          <w:i/>
        </w:rPr>
        <w:t>Biskupi Kościoła w Polsce</w:t>
      </w:r>
      <w:r>
        <w:rPr/>
        <w:t>;</w:t>
      </w:r>
    </w:p>
    <w:p>
      <w:pPr>
        <w:pStyle w:val="ListBullet"/>
        <w:spacing w:after="60"/>
      </w:pPr>
      <w:r>
        <w:rPr/>
        <w:t xml:space="preserve">K. R. Prokop, </w:t>
      </w:r>
      <w:r>
        <w:rPr>
          <w:i/>
        </w:rPr>
        <w:t>Biskupi kijowscy</w:t>
      </w:r>
      <w:r>
        <w:rPr/>
        <w:t>;</w:t>
      </w:r>
    </w:p>
    <w:p>
      <w:pPr>
        <w:pStyle w:val="ListBullet"/>
        <w:spacing w:after="60"/>
      </w:pPr>
      <w:r>
        <w:rPr/>
        <w:t xml:space="preserve">J. Nadzieja[?], </w:t>
      </w:r>
      <w:r>
        <w:rPr>
          <w:i/>
        </w:rPr>
        <w:t>Gen. Józef Zajączek</w:t>
      </w:r>
      <w:r>
        <w:rPr/>
        <w:t>;</w:t>
      </w:r>
    </w:p>
    <w:p>
      <w:pPr>
        <w:pStyle w:val="ListBullet"/>
        <w:spacing w:after="60"/>
      </w:pPr>
      <w:r>
        <w:rPr/>
        <w:t xml:space="preserve">Cz. Bloch, </w:t>
      </w:r>
      <w:r>
        <w:rPr>
          <w:i/>
        </w:rPr>
        <w:t>Gen. Ignacy Prządzyński</w:t>
      </w:r>
      <w:r>
        <w:rPr/>
        <w:t>;</w:t>
      </w:r>
    </w:p>
    <w:p>
      <w:pPr>
        <w:pStyle w:val="ListBullet"/>
        <w:spacing w:after="60"/>
      </w:pPr>
      <w:r>
        <w:rPr/>
        <w:t xml:space="preserve">J. Pachoński, </w:t>
      </w:r>
      <w:r>
        <w:rPr>
          <w:i/>
        </w:rPr>
        <w:t>Józef Grabiński generał</w:t>
      </w:r>
      <w:r>
        <w:rPr/>
        <w:t>;</w:t>
      </w:r>
    </w:p>
    <w:p>
      <w:pPr>
        <w:pStyle w:val="ListBullet"/>
        <w:spacing w:after="60"/>
      </w:pPr>
      <w:r>
        <w:rPr/>
        <w:t xml:space="preserve">J. Skowronek, </w:t>
      </w:r>
      <w:r>
        <w:rPr>
          <w:i/>
        </w:rPr>
        <w:t>Cmentarz polski w Montmorency</w:t>
      </w:r>
      <w:r>
        <w:rPr/>
        <w:t>;</w:t>
      </w:r>
    </w:p>
    <w:p>
      <w:pPr>
        <w:pStyle w:val="ListBullet"/>
        <w:spacing w:after="60"/>
      </w:pPr>
      <w:r>
        <w:rPr>
          <w:i/>
        </w:rPr>
        <w:t>Katalog zabytków sztuki w Polsce</w:t>
      </w:r>
      <w:r>
        <w:rPr/>
        <w:t>;</w:t>
      </w:r>
    </w:p>
    <w:p>
      <w:pPr>
        <w:pStyle w:val="ListBullet"/>
        <w:spacing w:after="60"/>
      </w:pPr>
      <w:r>
        <w:rPr>
          <w:i/>
        </w:rPr>
        <w:t>Wspomnienia więźniów Pawiaka</w:t>
      </w:r>
      <w:r>
        <w:rPr/>
        <w:t>;</w:t>
      </w:r>
    </w:p>
    <w:p>
      <w:pPr>
        <w:pStyle w:val="ListBullet"/>
        <w:spacing w:after="60"/>
      </w:pPr>
      <w:r>
        <w:rPr/>
        <w:t xml:space="preserve">J. Zimogrodzki, </w:t>
      </w:r>
      <w:r>
        <w:rPr>
          <w:i/>
        </w:rPr>
        <w:t>Województwo kaliskie w walce 1863–1864</w:t>
      </w:r>
      <w:r>
        <w:rPr/>
        <w:t>;</w:t>
      </w:r>
    </w:p>
    <w:p>
      <w:pPr>
        <w:pStyle w:val="ListBullet"/>
        <w:spacing w:after="60"/>
      </w:pPr>
      <w:r>
        <w:rPr/>
        <w:t xml:space="preserve">M. Bruchnalska, </w:t>
      </w:r>
      <w:r>
        <w:rPr>
          <w:i/>
        </w:rPr>
        <w:t>Miejsce Piastowe</w:t>
      </w:r>
      <w:r>
        <w:rPr/>
        <w:t xml:space="preserve"> (1934).</w:t>
      </w:r>
    </w:p>
    <w:p>
      <w:r>
        <w:rPr/>
        <w:t>Pełna lista z odsyłaczami jest w bazie (</w:t>
      </w:r>
      <w:r>
        <w:rPr>
          <w:rFonts w:ascii="Consolas" w:hAnsi="Consolas"/>
          <w:sz w:val="19"/>
        </w:rPr>
        <w:t>dane/literatura.yaml</w:t>
      </w:r>
      <w:r>
        <w:rPr/>
        <w:t>).</w:t>
      </w:r>
    </w:p>
    <w:p>
      <w:pPr>
        <w:pStyle w:val="Heading1"/>
        <w:pageBreakBefore/>
      </w:pPr>
      <w:r>
        <w:rPr/>
        <w:t>Aneks D. Słowniczek</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649"/>
            <w:shd w:val="clear" w:fill="EFE8DC"/>
          </w:tcPr>
          <w:p>
            <w:pPr>
              <w:spacing w:after="0" w:line="240" w:lineRule="auto"/>
            </w:pPr>
            <w:r>
              <w:rPr>
                <w:b/>
                <w:sz w:val="18"/>
              </w:rPr>
              <w:t>Wyraz</w:t>
            </w:r>
          </w:p>
        </w:tc>
        <w:tc>
          <w:tcPr>
            <w:tcW w:type="dxa" w:w="4649"/>
            <w:shd w:val="clear" w:fill="EFE8DC"/>
          </w:tcPr>
          <w:p>
            <w:pPr>
              <w:spacing w:after="0" w:line="240" w:lineRule="auto"/>
            </w:pPr>
            <w:r>
              <w:rPr>
                <w:b/>
                <w:sz w:val="18"/>
              </w:rPr>
              <w:t>Znaczenie</w:t>
            </w:r>
          </w:p>
        </w:tc>
      </w:tr>
      <w:tr>
        <w:tc>
          <w:tcPr>
            <w:tcW w:type="dxa" w:w="4649"/>
          </w:tcPr>
          <w:p>
            <w:pPr>
              <w:spacing w:after="0" w:line="240" w:lineRule="auto"/>
            </w:pPr>
            <w:r>
              <w:rPr>
                <w:sz w:val="18"/>
              </w:rPr>
              <w:t>chorąży (ziemski)</w:t>
            </w:r>
          </w:p>
        </w:tc>
        <w:tc>
          <w:tcPr>
            <w:tcW w:type="dxa" w:w="4649"/>
          </w:tcPr>
          <w:p>
            <w:pPr>
              <w:spacing w:after="0" w:line="240" w:lineRule="auto"/>
            </w:pPr>
            <w:r>
              <w:rPr>
                <w:sz w:val="18"/>
              </w:rPr>
              <w:t>urzędnik ziemski, który w czasie pospolitego ruszenia niósł chorągiew ziemi</w:t>
            </w:r>
          </w:p>
        </w:tc>
      </w:tr>
      <w:tr>
        <w:tc>
          <w:tcPr>
            <w:tcW w:type="dxa" w:w="4649"/>
          </w:tcPr>
          <w:p>
            <w:pPr>
              <w:spacing w:after="0" w:line="240" w:lineRule="auto"/>
            </w:pPr>
            <w:r>
              <w:rPr>
                <w:sz w:val="18"/>
              </w:rPr>
              <w:t>comes, komes</w:t>
            </w:r>
          </w:p>
        </w:tc>
        <w:tc>
          <w:tcPr>
            <w:tcW w:type="dxa" w:w="4649"/>
          </w:tcPr>
          <w:p>
            <w:pPr>
              <w:spacing w:after="0" w:line="240" w:lineRule="auto"/>
            </w:pPr>
            <w:r>
              <w:rPr>
                <w:sz w:val="18"/>
              </w:rPr>
              <w:t>możny, dostojnik; w średniowieczu wysoki urzędnik książęcy</w:t>
            </w:r>
          </w:p>
        </w:tc>
      </w:tr>
      <w:tr>
        <w:tc>
          <w:tcPr>
            <w:tcW w:type="dxa" w:w="4649"/>
          </w:tcPr>
          <w:p>
            <w:pPr>
              <w:spacing w:after="0" w:line="240" w:lineRule="auto"/>
            </w:pPr>
            <w:r>
              <w:rPr>
                <w:sz w:val="18"/>
              </w:rPr>
              <w:t>dział</w:t>
            </w:r>
          </w:p>
        </w:tc>
        <w:tc>
          <w:tcPr>
            <w:tcW w:type="dxa" w:w="4649"/>
          </w:tcPr>
          <w:p>
            <w:pPr>
              <w:spacing w:after="0" w:line="240" w:lineRule="auto"/>
            </w:pPr>
            <w:r>
              <w:rPr>
                <w:sz w:val="18"/>
              </w:rPr>
              <w:t>podział majątku między spadkobierców</w:t>
            </w:r>
          </w:p>
        </w:tc>
      </w:tr>
      <w:tr>
        <w:tc>
          <w:tcPr>
            <w:tcW w:type="dxa" w:w="4649"/>
          </w:tcPr>
          <w:p>
            <w:pPr>
              <w:spacing w:after="0" w:line="240" w:lineRule="auto"/>
            </w:pPr>
            <w:r>
              <w:rPr>
                <w:sz w:val="18"/>
              </w:rPr>
              <w:t>kasztelan</w:t>
            </w:r>
          </w:p>
        </w:tc>
        <w:tc>
          <w:tcPr>
            <w:tcW w:type="dxa" w:w="4649"/>
          </w:tcPr>
          <w:p>
            <w:pPr>
              <w:spacing w:after="0" w:line="240" w:lineRule="auto"/>
            </w:pPr>
            <w:r>
              <w:rPr>
                <w:sz w:val="18"/>
              </w:rPr>
              <w:t>senator (kasztelan wieluński, brzeziński); kasztelanic — syn kasztelana</w:t>
            </w:r>
          </w:p>
        </w:tc>
      </w:tr>
      <w:tr>
        <w:tc>
          <w:tcPr>
            <w:tcW w:type="dxa" w:w="4649"/>
          </w:tcPr>
          <w:p>
            <w:pPr>
              <w:spacing w:after="0" w:line="240" w:lineRule="auto"/>
            </w:pPr>
            <w:r>
              <w:rPr>
                <w:sz w:val="18"/>
              </w:rPr>
              <w:t>klucz (majątkowy)</w:t>
            </w:r>
          </w:p>
        </w:tc>
        <w:tc>
          <w:tcPr>
            <w:tcW w:type="dxa" w:w="4649"/>
          </w:tcPr>
          <w:p>
            <w:pPr>
              <w:spacing w:after="0" w:line="240" w:lineRule="auto"/>
            </w:pPr>
            <w:r>
              <w:rPr>
                <w:sz w:val="18"/>
              </w:rPr>
              <w:t>kilka wsi należących do jednego właściciela, z jednym ośrodkiem</w:t>
            </w:r>
          </w:p>
        </w:tc>
      </w:tr>
      <w:tr>
        <w:tc>
          <w:tcPr>
            <w:tcW w:type="dxa" w:w="4649"/>
          </w:tcPr>
          <w:p>
            <w:pPr>
              <w:spacing w:after="0" w:line="240" w:lineRule="auto"/>
            </w:pPr>
            <w:r>
              <w:rPr>
                <w:sz w:val="18"/>
              </w:rPr>
              <w:t>kolator</w:t>
            </w:r>
          </w:p>
        </w:tc>
        <w:tc>
          <w:tcPr>
            <w:tcW w:type="dxa" w:w="4649"/>
          </w:tcPr>
          <w:p>
            <w:pPr>
              <w:spacing w:after="0" w:line="240" w:lineRule="auto"/>
            </w:pPr>
            <w:r>
              <w:rPr>
                <w:sz w:val="18"/>
              </w:rPr>
              <w:t>patron kościoła (z prawem przedstawiania proboszcza); ławka kolatorska — jego ławka w kościele</w:t>
            </w:r>
          </w:p>
        </w:tc>
      </w:tr>
      <w:tr>
        <w:tc>
          <w:tcPr>
            <w:tcW w:type="dxa" w:w="4649"/>
          </w:tcPr>
          <w:p>
            <w:pPr>
              <w:spacing w:after="0" w:line="240" w:lineRule="auto"/>
            </w:pPr>
            <w:r>
              <w:rPr>
                <w:sz w:val="18"/>
              </w:rPr>
              <w:t>łan, włóka, morga</w:t>
            </w:r>
          </w:p>
        </w:tc>
        <w:tc>
          <w:tcPr>
            <w:tcW w:type="dxa" w:w="4649"/>
          </w:tcPr>
          <w:p>
            <w:pPr>
              <w:spacing w:after="0" w:line="240" w:lineRule="auto"/>
            </w:pPr>
            <w:r>
              <w:rPr>
                <w:sz w:val="18"/>
              </w:rPr>
              <w:t>dawne miary ziemi (włóka ok. 16,8 ha, morga ok. 0,56 ha)</w:t>
            </w:r>
          </w:p>
        </w:tc>
      </w:tr>
      <w:tr>
        <w:tc>
          <w:tcPr>
            <w:tcW w:type="dxa" w:w="4649"/>
          </w:tcPr>
          <w:p>
            <w:pPr>
              <w:spacing w:after="0" w:line="240" w:lineRule="auto"/>
            </w:pPr>
            <w:r>
              <w:rPr>
                <w:sz w:val="18"/>
              </w:rPr>
              <w:t>podkomorzy</w:t>
            </w:r>
          </w:p>
        </w:tc>
        <w:tc>
          <w:tcPr>
            <w:tcW w:type="dxa" w:w="4649"/>
          </w:tcPr>
          <w:p>
            <w:pPr>
              <w:spacing w:after="0" w:line="240" w:lineRule="auto"/>
            </w:pPr>
            <w:r>
              <w:rPr>
                <w:sz w:val="18"/>
              </w:rPr>
              <w:t>wysoki urzędnik ziemski, sędzia w sporach granicznych</w:t>
            </w:r>
          </w:p>
        </w:tc>
      </w:tr>
      <w:tr>
        <w:tc>
          <w:tcPr>
            <w:tcW w:type="dxa" w:w="4649"/>
          </w:tcPr>
          <w:p>
            <w:pPr>
              <w:spacing w:after="0" w:line="240" w:lineRule="auto"/>
            </w:pPr>
            <w:r>
              <w:rPr>
                <w:sz w:val="18"/>
              </w:rPr>
              <w:t>regalista / rokoszanin</w:t>
            </w:r>
          </w:p>
        </w:tc>
        <w:tc>
          <w:tcPr>
            <w:tcW w:type="dxa" w:w="4649"/>
          </w:tcPr>
          <w:p>
            <w:pPr>
              <w:spacing w:after="0" w:line="240" w:lineRule="auto"/>
            </w:pPr>
            <w:r>
              <w:rPr>
                <w:sz w:val="18"/>
              </w:rPr>
              <w:t>zwolennik króla / uczestnik rokoszu (zbrojnego wystąpienia szlachty)</w:t>
            </w:r>
          </w:p>
        </w:tc>
      </w:tr>
      <w:tr>
        <w:tc>
          <w:tcPr>
            <w:tcW w:type="dxa" w:w="4649"/>
          </w:tcPr>
          <w:p>
            <w:pPr>
              <w:spacing w:after="0" w:line="240" w:lineRule="auto"/>
            </w:pPr>
            <w:r>
              <w:rPr>
                <w:sz w:val="18"/>
              </w:rPr>
              <w:t>serwituty</w:t>
            </w:r>
          </w:p>
        </w:tc>
        <w:tc>
          <w:tcPr>
            <w:tcW w:type="dxa" w:w="4649"/>
          </w:tcPr>
          <w:p>
            <w:pPr>
              <w:spacing w:after="0" w:line="240" w:lineRule="auto"/>
            </w:pPr>
            <w:r>
              <w:rPr>
                <w:sz w:val="18"/>
              </w:rPr>
              <w:t>prawa chłopów do korzystania z lasów i pastwisk dworskich; „uregulowanie serwitutów” — ich wykup lub zamiana na ziemię</w:t>
            </w:r>
          </w:p>
        </w:tc>
      </w:tr>
      <w:tr>
        <w:tc>
          <w:tcPr>
            <w:tcW w:type="dxa" w:w="4649"/>
          </w:tcPr>
          <w:p>
            <w:pPr>
              <w:spacing w:after="0" w:line="240" w:lineRule="auto"/>
            </w:pPr>
            <w:r>
              <w:rPr>
                <w:sz w:val="18"/>
              </w:rPr>
              <w:t>starosta</w:t>
            </w:r>
          </w:p>
        </w:tc>
        <w:tc>
          <w:tcPr>
            <w:tcW w:type="dxa" w:w="4649"/>
          </w:tcPr>
          <w:p>
            <w:pPr>
              <w:spacing w:after="0" w:line="240" w:lineRule="auto"/>
            </w:pPr>
            <w:r>
              <w:rPr>
                <w:sz w:val="18"/>
              </w:rPr>
              <w:t>urzędnik królewski zarządzający dobrami królewskimi (starostwem)</w:t>
            </w:r>
          </w:p>
        </w:tc>
      </w:tr>
      <w:tr>
        <w:tc>
          <w:tcPr>
            <w:tcW w:type="dxa" w:w="4649"/>
          </w:tcPr>
          <w:p>
            <w:pPr>
              <w:spacing w:after="0" w:line="240" w:lineRule="auto"/>
            </w:pPr>
            <w:r>
              <w:rPr>
                <w:sz w:val="18"/>
              </w:rPr>
              <w:t>wojski</w:t>
            </w:r>
          </w:p>
        </w:tc>
        <w:tc>
          <w:tcPr>
            <w:tcW w:type="dxa" w:w="4649"/>
          </w:tcPr>
          <w:p>
            <w:pPr>
              <w:spacing w:after="0" w:line="240" w:lineRule="auto"/>
            </w:pPr>
            <w:r>
              <w:rPr>
                <w:sz w:val="18"/>
              </w:rPr>
              <w:t>urzędnik ziemski, opiekun rodzin szlachty w czasie wojny</w:t>
            </w:r>
          </w:p>
        </w:tc>
      </w:tr>
    </w:tbl>
    <w:p>
      <w:pPr>
        <w:spacing w:after="40"/>
      </w:pPr>
    </w:p>
    <w:sectPr w:rsidR="00FC693F" w:rsidRPr="0006063C" w:rsidSect="00034616">
      <w:footerReference w:type="default" r:id="rId9"/>
      <w:pgSz w:w="11906" w:h="16838"/>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258"/>
        <w:sz w:val="17"/>
      </w:rPr>
      <w:t xml:space="preserve">Boxa-Radoszewscy herbu Oksza — </w:t>
    </w:r>
    <w:r>
      <w:fldChar w:fldCharType="begin"/>
    </w:r>
    <w:r>
      <w:instrText xml:space="preserve">PAGE</w:instrText>
    </w:r>
    <w:r>
      <w:fldChar w:fldCharType="separate"/>
    </w:r>
    <w:r>
      <w:fldChar w:fldCharType="end"/>
    </w:r>
  </w:p>
</w:ftr>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S07 (zeszyt wspomnień), s. 3 </w:t>
      </w:r>
      <w:r>
        <w:rPr>
          <w:color w:val="8A8178"/>
          <w:sz w:val="15"/>
        </w:rPr>
        <w:t xml:space="preserve">[S07-p03-s03]</w:t>
      </w:r>
      <w:r>
        <w:t xml:space="preserve">. Zdanie o hetmanie i „halabardzie ostrzem w lewo” jest w zeszycie niejasne i odczytane niepewnie.</w:t>
      </w:r>
    </w:p>
  </w:footnote>
  <w:footnote w:id="2">
    <w:p>
      <w:pPr>
        <w:pStyle w:val="FootnoteText"/>
      </w:pPr>
      <w:r>
        <w:rPr>
          <w:rStyle w:val="FootnoteReference"/>
        </w:rPr>
        <w:footnoteRef/>
      </w:r>
      <w:r>
        <w:t xml:space="preserve"> S07, s. 3 </w:t>
      </w:r>
      <w:r>
        <w:rPr>
          <w:color w:val="8A8178"/>
          <w:sz w:val="15"/>
        </w:rPr>
        <w:t xml:space="preserve">[S07-p03-s02]</w:t>
      </w:r>
      <w:r>
        <w:t xml:space="preserve">; S03 (księga rodzinna), s. 2 </w:t>
      </w:r>
      <w:r>
        <w:rPr>
          <w:color w:val="8A8178"/>
          <w:sz w:val="15"/>
        </w:rPr>
        <w:t xml:space="preserve">[S03-p02-s01]</w:t>
      </w:r>
      <w:r>
        <w:t xml:space="preserve">.</w:t>
      </w:r>
    </w:p>
  </w:footnote>
  <w:footnote w:id="3">
    <w:p>
      <w:pPr>
        <w:pStyle w:val="FootnoteText"/>
      </w:pPr>
      <w:r>
        <w:rPr>
          <w:rStyle w:val="FootnoteReference"/>
        </w:rPr>
        <w:footnoteRef/>
      </w:r>
      <w:r>
        <w:t xml:space="preserve"> S08 (Kajzer), s. 75 i 77 </w:t>
      </w:r>
      <w:r>
        <w:rPr>
          <w:color w:val="8A8178"/>
          <w:sz w:val="15"/>
        </w:rPr>
        <w:t xml:space="preserve">[S08-p075-s01, S08-p077-s01, S08-p077-s02]</w:t>
      </w:r>
      <w:r>
        <w:t xml:space="preserve">; S05, s. 2 </w:t>
      </w:r>
      <w:r>
        <w:rPr>
          <w:color w:val="8A8178"/>
          <w:sz w:val="15"/>
        </w:rPr>
        <w:t xml:space="preserve">[S05-p02-s03]</w:t>
      </w:r>
      <w:r>
        <w:t xml:space="preserve">.</w:t>
      </w:r>
    </w:p>
  </w:footnote>
  <w:footnote w:id="4">
    <w:p>
      <w:pPr>
        <w:pStyle w:val="FootnoteText"/>
      </w:pPr>
      <w:r>
        <w:rPr>
          <w:rStyle w:val="FootnoteReference"/>
        </w:rPr>
        <w:footnoteRef/>
      </w:r>
      <w:r>
        <w:t xml:space="preserve"> S01 (Kosiński), s. 136, przypis 5 </w:t>
      </w:r>
      <w:r>
        <w:rPr>
          <w:color w:val="8A8178"/>
          <w:sz w:val="15"/>
        </w:rPr>
        <w:t xml:space="preserve">[S01-p136-s04, S01-p136-f5]</w:t>
      </w:r>
      <w:r>
        <w:t xml:space="preserve">.</w:t>
      </w:r>
    </w:p>
  </w:footnote>
  <w:footnote w:id="5">
    <w:p>
      <w:pPr>
        <w:pStyle w:val="FootnoteText"/>
      </w:pPr>
      <w:r>
        <w:rPr>
          <w:rStyle w:val="FootnoteReference"/>
        </w:rPr>
        <w:footnoteRef/>
      </w:r>
      <w:r>
        <w:t xml:space="preserve"> S02 (Łakomy 1981), s. 3 i 10 </w:t>
      </w:r>
      <w:r>
        <w:rPr>
          <w:color w:val="8A8178"/>
          <w:sz w:val="15"/>
        </w:rPr>
        <w:t xml:space="preserve">[S02-p03-s01, S02-p10-s02]</w:t>
      </w:r>
      <w:r>
        <w:t xml:space="preserve">.</w:t>
      </w:r>
    </w:p>
  </w:footnote>
  <w:footnote w:id="6">
    <w:p>
      <w:pPr>
        <w:pStyle w:val="FootnoteText"/>
      </w:pPr>
      <w:r>
        <w:rPr>
          <w:rStyle w:val="FootnoteReference"/>
        </w:rPr>
        <w:footnoteRef/>
      </w:r>
      <w:r>
        <w:t xml:space="preserve"> S08, s. 126 </w:t>
      </w:r>
      <w:r>
        <w:rPr>
          <w:color w:val="8A8178"/>
          <w:sz w:val="15"/>
        </w:rPr>
        <w:t xml:space="preserve">[S08-p126-s02]</w:t>
      </w:r>
      <w:r>
        <w:t xml:space="preserve">.</w:t>
      </w:r>
    </w:p>
  </w:footnote>
  <w:footnote w:id="7">
    <w:p>
      <w:pPr>
        <w:pStyle w:val="FootnoteText"/>
      </w:pPr>
      <w:r>
        <w:rPr>
          <w:rStyle w:val="FootnoteReference"/>
        </w:rPr>
        <w:footnoteRef/>
      </w:r>
      <w:r>
        <w:t xml:space="preserve"> S01, s. 133 </w:t>
      </w:r>
      <w:r>
        <w:rPr>
          <w:color w:val="8A8178"/>
          <w:sz w:val="15"/>
        </w:rPr>
        <w:t xml:space="preserve">[S01-p133-s03, S01-p133-s04]</w:t>
      </w:r>
      <w:r>
        <w:t xml:space="preserve">.</w:t>
      </w:r>
    </w:p>
  </w:footnote>
  <w:footnote w:id="8">
    <w:p>
      <w:pPr>
        <w:pStyle w:val="FootnoteText"/>
      </w:pPr>
      <w:r>
        <w:rPr>
          <w:rStyle w:val="FootnoteReference"/>
        </w:rPr>
        <w:footnoteRef/>
      </w:r>
      <w:r>
        <w:t xml:space="preserve"> S01, s. 133, przypis 1 </w:t>
      </w:r>
      <w:r>
        <w:rPr>
          <w:color w:val="8A8178"/>
          <w:sz w:val="15"/>
        </w:rPr>
        <w:t xml:space="preserve">[S01-p133-f1]</w:t>
      </w:r>
      <w:r>
        <w:t xml:space="preserve">.</w:t>
      </w:r>
    </w:p>
  </w:footnote>
  <w:footnote w:id="9">
    <w:p>
      <w:pPr>
        <w:pStyle w:val="FootnoteText"/>
      </w:pPr>
      <w:r>
        <w:rPr>
          <w:rStyle w:val="FootnoteReference"/>
        </w:rPr>
        <w:footnoteRef/>
      </w:r>
      <w:r>
        <w:t xml:space="preserve"> S02, s. 2 </w:t>
      </w:r>
      <w:r>
        <w:rPr>
          <w:color w:val="8A8178"/>
          <w:sz w:val="15"/>
        </w:rPr>
        <w:t xml:space="preserve">[S02-p02-s01]</w:t>
      </w:r>
      <w:r>
        <w:t xml:space="preserve">; S10 (Łakomy 1978), s. 1–2 </w:t>
      </w:r>
      <w:r>
        <w:rPr>
          <w:color w:val="8A8178"/>
          <w:sz w:val="15"/>
        </w:rPr>
        <w:t xml:space="preserve">[S10-p1-s05, S10-p2-s01]</w:t>
      </w:r>
      <w:r>
        <w:t xml:space="preserve">.</w:t>
      </w:r>
    </w:p>
  </w:footnote>
  <w:footnote w:id="10">
    <w:p>
      <w:pPr>
        <w:pStyle w:val="FootnoteText"/>
      </w:pPr>
      <w:r>
        <w:rPr>
          <w:rStyle w:val="FootnoteReference"/>
        </w:rPr>
        <w:footnoteRef/>
      </w:r>
      <w:r>
        <w:t xml:space="preserve"> S07, s. 3 </w:t>
      </w:r>
      <w:r>
        <w:rPr>
          <w:color w:val="8A8178"/>
          <w:sz w:val="15"/>
        </w:rPr>
        <w:t xml:space="preserve">[S07-p03-s04, S07-p03-s05]</w:t>
      </w:r>
      <w:r>
        <w:t xml:space="preserve">.</w:t>
      </w:r>
    </w:p>
  </w:footnote>
  <w:footnote w:id="11">
    <w:p>
      <w:pPr>
        <w:pStyle w:val="FootnoteText"/>
      </w:pPr>
      <w:r>
        <w:rPr>
          <w:rStyle w:val="FootnoteReference"/>
        </w:rPr>
        <w:footnoteRef/>
      </w:r>
      <w:r>
        <w:t xml:space="preserve"> S08, s. 125 </w:t>
      </w:r>
      <w:r>
        <w:rPr>
          <w:color w:val="8A8178"/>
          <w:sz w:val="15"/>
        </w:rPr>
        <w:t xml:space="preserve">[S08-p125-s03]</w:t>
      </w:r>
      <w:r>
        <w:t xml:space="preserve">; także s. 143 </w:t>
      </w:r>
      <w:r>
        <w:rPr>
          <w:color w:val="8A8178"/>
          <w:sz w:val="15"/>
        </w:rPr>
        <w:t xml:space="preserve">[S08-p143-s03]</w:t>
      </w:r>
      <w:r>
        <w:t xml:space="preserve">.</w:t>
      </w:r>
    </w:p>
  </w:footnote>
  <w:footnote w:id="12">
    <w:p>
      <w:pPr>
        <w:pStyle w:val="FootnoteText"/>
      </w:pPr>
      <w:r>
        <w:rPr>
          <w:rStyle w:val="FootnoteReference"/>
        </w:rPr>
        <w:footnoteRef/>
      </w:r>
      <w:r>
        <w:t xml:space="preserve"> S08, s. 146 </w:t>
      </w:r>
      <w:r>
        <w:rPr>
          <w:color w:val="8A8178"/>
          <w:sz w:val="15"/>
        </w:rPr>
        <w:t xml:space="preserve">[S08-p146-s03]</w:t>
      </w:r>
      <w:r>
        <w:t xml:space="preserve">.</w:t>
      </w:r>
    </w:p>
  </w:footnote>
  <w:footnote w:id="13">
    <w:p>
      <w:pPr>
        <w:pStyle w:val="FootnoteText"/>
      </w:pPr>
      <w:r>
        <w:rPr>
          <w:rStyle w:val="FootnoteReference"/>
        </w:rPr>
        <w:footnoteRef/>
      </w:r>
      <w:r>
        <w:t xml:space="preserve"> S01, s. 132 </w:t>
      </w:r>
      <w:r>
        <w:rPr>
          <w:color w:val="8A8178"/>
          <w:sz w:val="15"/>
        </w:rPr>
        <w:t xml:space="preserve">[S01-p132-s03]</w:t>
      </w:r>
      <w:r>
        <w:t xml:space="preserve">.</w:t>
      </w:r>
    </w:p>
  </w:footnote>
  <w:footnote w:id="14">
    <w:p>
      <w:pPr>
        <w:pStyle w:val="FootnoteText"/>
      </w:pPr>
      <w:r>
        <w:rPr>
          <w:rStyle w:val="FootnoteReference"/>
        </w:rPr>
        <w:footnoteRef/>
      </w:r>
      <w:r>
        <w:t xml:space="preserve"> S08, s. 126 i 144 </w:t>
      </w:r>
      <w:r>
        <w:rPr>
          <w:color w:val="8A8178"/>
          <w:sz w:val="15"/>
        </w:rPr>
        <w:t xml:space="preserve">[S08-p126-s01, S08-p144-s01]</w:t>
      </w:r>
      <w:r>
        <w:t xml:space="preserve">.</w:t>
      </w:r>
    </w:p>
  </w:footnote>
  <w:footnote w:id="15">
    <w:p>
      <w:pPr>
        <w:pStyle w:val="FootnoteText"/>
      </w:pPr>
      <w:r>
        <w:rPr>
          <w:rStyle w:val="FootnoteReference"/>
        </w:rPr>
        <w:footnoteRef/>
      </w:r>
      <w:r>
        <w:t xml:space="preserve"> S01, s. 132 </w:t>
      </w:r>
      <w:r>
        <w:rPr>
          <w:color w:val="8A8178"/>
          <w:sz w:val="15"/>
        </w:rPr>
        <w:t xml:space="preserve">[S01-p132-s03, S01-p132-s04]</w:t>
      </w:r>
      <w:r>
        <w:t xml:space="preserve">.</w:t>
      </w:r>
    </w:p>
  </w:footnote>
  <w:footnote w:id="16">
    <w:p>
      <w:pPr>
        <w:pStyle w:val="FootnoteText"/>
      </w:pPr>
      <w:r>
        <w:rPr>
          <w:rStyle w:val="FootnoteReference"/>
        </w:rPr>
        <w:footnoteRef/>
      </w:r>
      <w:r>
        <w:t xml:space="preserve"> S01, s. 133 </w:t>
      </w:r>
      <w:r>
        <w:rPr>
          <w:color w:val="8A8178"/>
          <w:sz w:val="15"/>
        </w:rPr>
        <w:t xml:space="preserve">[S01-p133-s02]</w:t>
      </w:r>
      <w:r>
        <w:t xml:space="preserve"> (tytuł łaciński w przekładzie wydania uwspółcześnionego).</w:t>
      </w:r>
    </w:p>
  </w:footnote>
  <w:footnote w:id="17">
    <w:p>
      <w:pPr>
        <w:pStyle w:val="FootnoteText"/>
      </w:pPr>
      <w:r>
        <w:rPr>
          <w:rStyle w:val="FootnoteReference"/>
        </w:rPr>
        <w:footnoteRef/>
      </w:r>
      <w:r>
        <w:t xml:space="preserve"> S01, s. 142–144 </w:t>
      </w:r>
      <w:r>
        <w:rPr>
          <w:color w:val="8A8178"/>
          <w:sz w:val="15"/>
        </w:rPr>
        <w:t xml:space="preserve">[S01-p142-s03, S01-p143-s04, S01-p144-s02]</w:t>
      </w:r>
      <w:r>
        <w:t xml:space="preserve">; uwagi o egzemplarzu: </w:t>
      </w:r>
      <w:r>
        <w:rPr>
          <w:rFonts w:ascii="Consolas" w:hAnsi="Consolas"/>
        </w:rPr>
        <w:t xml:space="preserve">dane/watpliwosci.md</w:t>
      </w:r>
      <w:r>
        <w:t xml:space="preserve">, rozdz. S01.</w:t>
      </w:r>
    </w:p>
  </w:footnote>
  <w:footnote w:id="18">
    <w:p>
      <w:pPr>
        <w:pStyle w:val="FootnoteText"/>
      </w:pPr>
      <w:r>
        <w:rPr>
          <w:rStyle w:val="FootnoteReference"/>
        </w:rPr>
        <w:footnoteRef/>
      </w:r>
      <w:r>
        <w:t xml:space="preserve"> S01, s. 135 i 137 </w:t>
      </w:r>
      <w:r>
        <w:rPr>
          <w:color w:val="8A8178"/>
          <w:sz w:val="15"/>
        </w:rPr>
        <w:t xml:space="preserve">[S01-p135-s02, S01-p136-s04, S01-p137-s01]</w:t>
      </w:r>
      <w:r>
        <w:t xml:space="preserve">. Uwaga opracowującego: Bolesław Wstydliwy panował w latach 1243–1279, Leszek Czarny w latach 1279–1288.</w:t>
      </w:r>
    </w:p>
  </w:footnote>
  <w:footnote w:id="19">
    <w:p>
      <w:pPr>
        <w:pStyle w:val="FootnoteText"/>
      </w:pPr>
      <w:r>
        <w:rPr>
          <w:rStyle w:val="FootnoteReference"/>
        </w:rPr>
        <w:footnoteRef/>
      </w:r>
      <w:r>
        <w:t xml:space="preserve"> S01, s. 133 </w:t>
      </w:r>
      <w:r>
        <w:rPr>
          <w:color w:val="8A8178"/>
          <w:sz w:val="15"/>
        </w:rPr>
        <w:t xml:space="preserve">[S01-p133-s03]</w:t>
      </w:r>
      <w:r>
        <w:t xml:space="preserve">.</w:t>
      </w:r>
    </w:p>
  </w:footnote>
  <w:footnote w:id="20">
    <w:p>
      <w:pPr>
        <w:pStyle w:val="FootnoteText"/>
      </w:pPr>
      <w:r>
        <w:rPr>
          <w:rStyle w:val="FootnoteReference"/>
        </w:rPr>
        <w:footnoteRef/>
      </w:r>
      <w:r>
        <w:t xml:space="preserve"> S01, s. 133–134 </w:t>
      </w:r>
      <w:r>
        <w:rPr>
          <w:color w:val="8A8178"/>
          <w:sz w:val="15"/>
        </w:rPr>
        <w:t xml:space="preserve">[S01-p133-s06, S01-p134-s01, S01-p134-s02, S01-p134-s03]</w:t>
      </w:r>
      <w:r>
        <w:t xml:space="preserve">.</w:t>
      </w:r>
    </w:p>
  </w:footnote>
  <w:footnote w:id="21">
    <w:p>
      <w:pPr>
        <w:pStyle w:val="FootnoteText"/>
      </w:pPr>
      <w:r>
        <w:rPr>
          <w:rStyle w:val="FootnoteReference"/>
        </w:rPr>
        <w:footnoteRef/>
      </w:r>
      <w:r>
        <w:t xml:space="preserve"> S01, s. 134–135 </w:t>
      </w:r>
      <w:r>
        <w:rPr>
          <w:color w:val="8A8178"/>
          <w:sz w:val="15"/>
        </w:rPr>
        <w:t xml:space="preserve">[S01-p134-s05, S01-p135-s01, S01-p135-s02]</w:t>
      </w:r>
      <w:r>
        <w:t xml:space="preserve">.</w:t>
      </w:r>
    </w:p>
  </w:footnote>
  <w:footnote w:id="22">
    <w:p>
      <w:pPr>
        <w:pStyle w:val="FootnoteText"/>
      </w:pPr>
      <w:r>
        <w:rPr>
          <w:rStyle w:val="FootnoteReference"/>
        </w:rPr>
        <w:footnoteRef/>
      </w:r>
      <w:r>
        <w:t xml:space="preserve"> S01, s. 135–136 </w:t>
      </w:r>
      <w:r>
        <w:rPr>
          <w:color w:val="8A8178"/>
          <w:sz w:val="15"/>
        </w:rPr>
        <w:t xml:space="preserve">[S01-p135-s04, S01-p135-s05, S01-p135-s06, S01-p136-s01, S01-p136-s02]</w:t>
      </w:r>
      <w:r>
        <w:t xml:space="preserve">.</w:t>
      </w:r>
    </w:p>
  </w:footnote>
  <w:footnote w:id="23">
    <w:p>
      <w:pPr>
        <w:pStyle w:val="FootnoteText"/>
      </w:pPr>
      <w:r>
        <w:rPr>
          <w:rStyle w:val="FootnoteReference"/>
        </w:rPr>
        <w:footnoteRef/>
      </w:r>
      <w:r>
        <w:t xml:space="preserve"> S01, s. 136–137 </w:t>
      </w:r>
      <w:r>
        <w:rPr>
          <w:color w:val="8A8178"/>
          <w:sz w:val="15"/>
        </w:rPr>
        <w:t xml:space="preserve">[S01-p136-s04, S01-p137-s01]</w:t>
      </w:r>
      <w:r>
        <w:t xml:space="preserve">.</w:t>
      </w:r>
    </w:p>
  </w:footnote>
  <w:footnote w:id="24">
    <w:p>
      <w:pPr>
        <w:pStyle w:val="FootnoteText"/>
      </w:pPr>
      <w:r>
        <w:rPr>
          <w:rStyle w:val="FootnoteReference"/>
        </w:rPr>
        <w:footnoteRef/>
      </w:r>
      <w:r>
        <w:t xml:space="preserve"> S08, s. 146 </w:t>
      </w:r>
      <w:r>
        <w:rPr>
          <w:color w:val="8A8178"/>
          <w:sz w:val="15"/>
        </w:rPr>
        <w:t xml:space="preserve">[S08-p146-s02]</w:t>
      </w:r>
      <w:r>
        <w:t xml:space="preserve">.</w:t>
      </w:r>
    </w:p>
  </w:footnote>
  <w:footnote w:id="25">
    <w:p>
      <w:pPr>
        <w:pStyle w:val="FootnoteText"/>
      </w:pPr>
      <w:r>
        <w:rPr>
          <w:rStyle w:val="FootnoteReference"/>
        </w:rPr>
        <w:footnoteRef/>
      </w:r>
      <w:r>
        <w:t xml:space="preserve"> S01, s. 137–139 </w:t>
      </w:r>
      <w:r>
        <w:rPr>
          <w:color w:val="8A8178"/>
          <w:sz w:val="15"/>
        </w:rPr>
        <w:t xml:space="preserve">[S01-p137-s03, S01-p137-s04, S01-p137-s05, S01-p138-s01, S01-p138-s02, S01-p138-s03, S01-p138-s04, S01-p139-s01]</w:t>
      </w:r>
      <w:r>
        <w:t xml:space="preserve">.</w:t>
      </w:r>
    </w:p>
  </w:footnote>
  <w:footnote w:id="26">
    <w:p>
      <w:pPr>
        <w:pStyle w:val="FootnoteText"/>
      </w:pPr>
      <w:r>
        <w:rPr>
          <w:rStyle w:val="FootnoteReference"/>
        </w:rPr>
        <w:footnoteRef/>
      </w:r>
      <w:r>
        <w:t xml:space="preserve"> S01, s. 139–140 </w:t>
      </w:r>
      <w:r>
        <w:rPr>
          <w:color w:val="8A8178"/>
          <w:sz w:val="15"/>
        </w:rPr>
        <w:t xml:space="preserve">[S01-p139-s03, S01-p139-s04, S01-p139-s05, S01-p140-s01, S01-p140-s02, S01-p140-s03, S01-p140-s04]</w:t>
      </w:r>
      <w:r>
        <w:t xml:space="preserve">.</w:t>
      </w:r>
    </w:p>
  </w:footnote>
  <w:footnote w:id="27">
    <w:p>
      <w:pPr>
        <w:pStyle w:val="FootnoteText"/>
      </w:pPr>
      <w:r>
        <w:rPr>
          <w:rStyle w:val="FootnoteReference"/>
        </w:rPr>
        <w:footnoteRef/>
      </w:r>
      <w:r>
        <w:t xml:space="preserve"> S01, s. 132 </w:t>
      </w:r>
      <w:r>
        <w:rPr>
          <w:color w:val="8A8178"/>
          <w:sz w:val="15"/>
        </w:rPr>
        <w:t xml:space="preserve">[S01-p132-s03]</w:t>
      </w:r>
      <w:r>
        <w:t xml:space="preserve">.</w:t>
      </w:r>
    </w:p>
  </w:footnote>
  <w:footnote w:id="28">
    <w:p>
      <w:pPr>
        <w:pStyle w:val="FootnoteText"/>
      </w:pPr>
      <w:r>
        <w:rPr>
          <w:rStyle w:val="FootnoteReference"/>
        </w:rPr>
        <w:footnoteRef/>
      </w:r>
      <w:r>
        <w:t xml:space="preserve"> S08, s. 126 </w:t>
      </w:r>
      <w:r>
        <w:rPr>
          <w:color w:val="8A8178"/>
          <w:sz w:val="15"/>
        </w:rPr>
        <w:t xml:space="preserve">[S08-p126-s02]</w:t>
      </w:r>
      <w:r>
        <w:t xml:space="preserve">; s. 144 </w:t>
      </w:r>
      <w:r>
        <w:rPr>
          <w:color w:val="8A8178"/>
          <w:sz w:val="15"/>
        </w:rPr>
        <w:t xml:space="preserve">[S08-p144-s01]</w:t>
      </w:r>
      <w:r>
        <w:t xml:space="preserve">.</w:t>
      </w:r>
    </w:p>
  </w:footnote>
  <w:footnote w:id="29">
    <w:p>
      <w:pPr>
        <w:pStyle w:val="FootnoteText"/>
      </w:pPr>
      <w:r>
        <w:rPr>
          <w:rStyle w:val="FootnoteReference"/>
        </w:rPr>
        <w:footnoteRef/>
      </w:r>
      <w:r>
        <w:t xml:space="preserve"> S07, s. 1 i 4 </w:t>
      </w:r>
      <w:r>
        <w:rPr>
          <w:color w:val="8A8178"/>
          <w:sz w:val="15"/>
        </w:rPr>
        <w:t xml:space="preserve">[S07-p01-s01, S07-p04-s01]</w:t>
      </w:r>
      <w:r>
        <w:t xml:space="preserve">.</w:t>
      </w:r>
    </w:p>
  </w:footnote>
  <w:footnote w:id="30">
    <w:p>
      <w:pPr>
        <w:pStyle w:val="FootnoteText"/>
      </w:pPr>
      <w:r>
        <w:rPr>
          <w:rStyle w:val="FootnoteReference"/>
        </w:rPr>
        <w:footnoteRef/>
      </w:r>
      <w:r>
        <w:t xml:space="preserve"> S01, s. 141 </w:t>
      </w:r>
      <w:r>
        <w:rPr>
          <w:color w:val="8A8178"/>
          <w:sz w:val="15"/>
        </w:rPr>
        <w:t xml:space="preserve">[S01-p141-s04]</w:t>
      </w:r>
      <w:r>
        <w:t xml:space="preserve">.</w:t>
      </w:r>
    </w:p>
  </w:footnote>
  <w:footnote w:id="31">
    <w:p>
      <w:pPr>
        <w:pStyle w:val="FootnoteText"/>
      </w:pPr>
      <w:r>
        <w:rPr>
          <w:rStyle w:val="FootnoteReference"/>
        </w:rPr>
        <w:footnoteRef/>
      </w:r>
      <w:r>
        <w:t xml:space="preserve"> S01, s. 141 </w:t>
      </w:r>
      <w:r>
        <w:rPr>
          <w:color w:val="8A8178"/>
          <w:sz w:val="15"/>
        </w:rPr>
        <w:t xml:space="preserve">[S01-p141-s02, S01-p141-s03]</w:t>
      </w:r>
      <w:r>
        <w:t xml:space="preserve">. Data bitwy pod Warną — uwaga opracowującego.</w:t>
      </w:r>
    </w:p>
  </w:footnote>
  <w:footnote w:id="32">
    <w:p>
      <w:pPr>
        <w:pStyle w:val="FootnoteText"/>
      </w:pPr>
      <w:r>
        <w:rPr>
          <w:rStyle w:val="FootnoteReference"/>
        </w:rPr>
        <w:footnoteRef/>
      </w:r>
      <w:r>
        <w:t xml:space="preserve"> S08, s. 144 </w:t>
      </w:r>
      <w:r>
        <w:rPr>
          <w:color w:val="8A8178"/>
          <w:sz w:val="15"/>
        </w:rPr>
        <w:t xml:space="preserve">[S08-p144-s01]</w:t>
      </w:r>
      <w:r>
        <w:t xml:space="preserve">.</w:t>
      </w:r>
    </w:p>
  </w:footnote>
  <w:footnote w:id="33">
    <w:p>
      <w:pPr>
        <w:pStyle w:val="FootnoteText"/>
      </w:pPr>
      <w:r>
        <w:rPr>
          <w:rStyle w:val="FootnoteReference"/>
        </w:rPr>
        <w:footnoteRef/>
      </w:r>
      <w:r>
        <w:t xml:space="preserve"> S08, s. 144 </w:t>
      </w:r>
      <w:r>
        <w:rPr>
          <w:color w:val="8A8178"/>
          <w:sz w:val="15"/>
        </w:rPr>
        <w:t xml:space="preserve">[S08-p144-s01]</w:t>
      </w:r>
      <w:r>
        <w:t xml:space="preserve">.</w:t>
      </w:r>
    </w:p>
  </w:footnote>
  <w:footnote w:id="34">
    <w:p>
      <w:pPr>
        <w:pStyle w:val="FootnoteText"/>
      </w:pPr>
      <w:r>
        <w:rPr>
          <w:rStyle w:val="FootnoteReference"/>
        </w:rPr>
        <w:footnoteRef/>
      </w:r>
      <w:r>
        <w:t xml:space="preserve"> S08, s. 126 </w:t>
      </w:r>
      <w:r>
        <w:rPr>
          <w:color w:val="8A8178"/>
          <w:sz w:val="15"/>
        </w:rPr>
        <w:t xml:space="preserve">[S08-p126-s02]</w:t>
      </w:r>
      <w:r>
        <w:t xml:space="preserve">.</w:t>
      </w:r>
    </w:p>
  </w:footnote>
  <w:footnote w:id="35">
    <w:p>
      <w:pPr>
        <w:pStyle w:val="FootnoteText"/>
      </w:pPr>
      <w:r>
        <w:rPr>
          <w:rStyle w:val="FootnoteReference"/>
        </w:rPr>
        <w:footnoteRef/>
      </w:r>
      <w:r>
        <w:t xml:space="preserve"> S01, s. 142 </w:t>
      </w:r>
      <w:r>
        <w:rPr>
          <w:color w:val="8A8178"/>
          <w:sz w:val="15"/>
        </w:rPr>
        <w:t xml:space="preserve">[S01-p142-s03]</w:t>
      </w:r>
      <w:r>
        <w:t xml:space="preserve">.</w:t>
      </w:r>
    </w:p>
  </w:footnote>
  <w:footnote w:id="36">
    <w:p>
      <w:pPr>
        <w:pStyle w:val="FootnoteText"/>
      </w:pPr>
      <w:r>
        <w:rPr>
          <w:rStyle w:val="FootnoteReference"/>
        </w:rPr>
        <w:footnoteRef/>
      </w:r>
      <w:r>
        <w:t xml:space="preserve"> S07, s. 1 i 22 </w:t>
      </w:r>
      <w:r>
        <w:rPr>
          <w:color w:val="8A8178"/>
          <w:sz w:val="15"/>
        </w:rPr>
        <w:t xml:space="preserve">[S07-p01-s01, S07-p22-s03]</w:t>
      </w:r>
      <w:r>
        <w:t xml:space="preserve">.</w:t>
      </w:r>
    </w:p>
  </w:footnote>
  <w:footnote w:id="37">
    <w:p>
      <w:pPr>
        <w:pStyle w:val="FootnoteText"/>
      </w:pPr>
      <w:r>
        <w:rPr>
          <w:rStyle w:val="FootnoteReference"/>
        </w:rPr>
        <w:footnoteRef/>
      </w:r>
      <w:r>
        <w:t xml:space="preserve"> S01, s. 142 </w:t>
      </w:r>
      <w:r>
        <w:rPr>
          <w:color w:val="8A8178"/>
          <w:sz w:val="15"/>
        </w:rPr>
        <w:t xml:space="preserve">[S01-p142-s02]</w:t>
      </w:r>
      <w:r>
        <w:t xml:space="preserve">.</w:t>
      </w:r>
    </w:p>
  </w:footnote>
  <w:footnote w:id="38">
    <w:p>
      <w:pPr>
        <w:pStyle w:val="FootnoteText"/>
      </w:pPr>
      <w:r>
        <w:rPr>
          <w:rStyle w:val="FootnoteReference"/>
        </w:rPr>
        <w:footnoteRef/>
      </w:r>
      <w:r>
        <w:t xml:space="preserve"> S01, s. 142 </w:t>
      </w:r>
      <w:r>
        <w:rPr>
          <w:color w:val="8A8178"/>
          <w:sz w:val="15"/>
        </w:rPr>
        <w:t xml:space="preserve">[S01-p142-s04]</w:t>
      </w:r>
      <w:r>
        <w:t xml:space="preserve">.</w:t>
      </w:r>
    </w:p>
  </w:footnote>
  <w:footnote w:id="39">
    <w:p>
      <w:pPr>
        <w:pStyle w:val="FootnoteText"/>
      </w:pPr>
      <w:r>
        <w:rPr>
          <w:rStyle w:val="FootnoteReference"/>
        </w:rPr>
        <w:footnoteRef/>
      </w:r>
      <w:r>
        <w:t xml:space="preserve"> S07, s. 22 </w:t>
      </w:r>
      <w:r>
        <w:rPr>
          <w:color w:val="8A8178"/>
          <w:sz w:val="15"/>
        </w:rPr>
        <w:t xml:space="preserve">[S07-p22-s02]</w:t>
      </w:r>
      <w:r>
        <w:t xml:space="preserve">.</w:t>
      </w:r>
    </w:p>
  </w:footnote>
  <w:footnote w:id="40">
    <w:p>
      <w:pPr>
        <w:pStyle w:val="FootnoteText"/>
      </w:pPr>
      <w:r>
        <w:rPr>
          <w:rStyle w:val="FootnoteReference"/>
        </w:rPr>
        <w:footnoteRef/>
      </w:r>
      <w:r>
        <w:t xml:space="preserve"> S08, s. 146 </w:t>
      </w:r>
      <w:r>
        <w:rPr>
          <w:color w:val="8A8178"/>
          <w:sz w:val="15"/>
        </w:rPr>
        <w:t xml:space="preserve">[S08-p146-s02]</w:t>
      </w:r>
      <w:r>
        <w:t xml:space="preserve">.</w:t>
      </w:r>
    </w:p>
  </w:footnote>
  <w:footnote w:id="41">
    <w:p>
      <w:pPr>
        <w:pStyle w:val="FootnoteText"/>
      </w:pPr>
      <w:r>
        <w:rPr>
          <w:rStyle w:val="FootnoteReference"/>
        </w:rPr>
        <w:footnoteRef/>
      </w:r>
      <w:r>
        <w:t xml:space="preserve"> S01, s. 142–143 </w:t>
      </w:r>
      <w:r>
        <w:rPr>
          <w:color w:val="8A8178"/>
          <w:sz w:val="15"/>
        </w:rPr>
        <w:t xml:space="preserve">[S01-p142-s05, S01-p143-s01]</w:t>
      </w:r>
      <w:r>
        <w:t xml:space="preserve">.</w:t>
      </w:r>
    </w:p>
  </w:footnote>
  <w:footnote w:id="42">
    <w:p>
      <w:pPr>
        <w:pStyle w:val="FootnoteText"/>
      </w:pPr>
      <w:r>
        <w:rPr>
          <w:rStyle w:val="FootnoteReference"/>
        </w:rPr>
        <w:footnoteRef/>
      </w:r>
      <w:r>
        <w:t xml:space="preserve"> S08, s. 145–146 </w:t>
      </w:r>
      <w:r>
        <w:rPr>
          <w:color w:val="8A8178"/>
          <w:sz w:val="15"/>
        </w:rPr>
        <w:t xml:space="preserve">[S08-p145-s04, S08-p146-s01]</w:t>
      </w:r>
      <w:r>
        <w:t xml:space="preserve">.</w:t>
      </w:r>
    </w:p>
  </w:footnote>
  <w:footnote w:id="43">
    <w:p>
      <w:pPr>
        <w:pStyle w:val="FootnoteText"/>
      </w:pPr>
      <w:r>
        <w:rPr>
          <w:rStyle w:val="FootnoteReference"/>
        </w:rPr>
        <w:footnoteRef/>
      </w:r>
      <w:r>
        <w:t xml:space="preserve"> S07, s. 4 </w:t>
      </w:r>
      <w:r>
        <w:rPr>
          <w:color w:val="8A8178"/>
          <w:sz w:val="15"/>
        </w:rPr>
        <w:t xml:space="preserve">[S07-p04-s02]</w:t>
      </w:r>
      <w:r>
        <w:t xml:space="preserve">.</w:t>
      </w:r>
    </w:p>
  </w:footnote>
  <w:footnote w:id="44">
    <w:p>
      <w:pPr>
        <w:pStyle w:val="FootnoteText"/>
      </w:pPr>
      <w:r>
        <w:rPr>
          <w:rStyle w:val="FootnoteReference"/>
        </w:rPr>
        <w:footnoteRef/>
      </w:r>
      <w:r>
        <w:t xml:space="preserve"> S08, s. 123 i 126 </w:t>
      </w:r>
      <w:r>
        <w:rPr>
          <w:color w:val="8A8178"/>
          <w:sz w:val="15"/>
        </w:rPr>
        <w:t xml:space="preserve">[S08-p123-s04, S08-p126-s02]</w:t>
      </w:r>
      <w:r>
        <w:t xml:space="preserve">.</w:t>
      </w:r>
    </w:p>
  </w:footnote>
  <w:footnote w:id="45">
    <w:p>
      <w:pPr>
        <w:pStyle w:val="FootnoteText"/>
      </w:pPr>
      <w:r>
        <w:rPr>
          <w:rStyle w:val="FootnoteReference"/>
        </w:rPr>
        <w:footnoteRef/>
      </w:r>
      <w:r>
        <w:t xml:space="preserve"> S02, s. 1 </w:t>
      </w:r>
      <w:r>
        <w:rPr>
          <w:color w:val="8A8178"/>
          <w:sz w:val="15"/>
        </w:rPr>
        <w:t xml:space="preserve">[S02-p01-s05]</w:t>
      </w:r>
      <w:r>
        <w:t xml:space="preserve">.</w:t>
      </w:r>
    </w:p>
  </w:footnote>
  <w:footnote w:id="46">
    <w:p>
      <w:pPr>
        <w:pStyle w:val="FootnoteText"/>
      </w:pPr>
      <w:r>
        <w:rPr>
          <w:rStyle w:val="FootnoteReference"/>
        </w:rPr>
        <w:footnoteRef/>
      </w:r>
      <w:r>
        <w:t xml:space="preserve"> S08, s. 128–129 </w:t>
      </w:r>
      <w:r>
        <w:rPr>
          <w:color w:val="8A8178"/>
          <w:sz w:val="15"/>
        </w:rPr>
        <w:t xml:space="preserve">[S08-p128-s04, S08-p129-s01]</w:t>
      </w:r>
      <w:r>
        <w:t xml:space="preserve">.</w:t>
      </w:r>
    </w:p>
  </w:footnote>
  <w:footnote w:id="47">
    <w:p>
      <w:pPr>
        <w:pStyle w:val="FootnoteText"/>
      </w:pPr>
      <w:r>
        <w:rPr>
          <w:rStyle w:val="FootnoteReference"/>
        </w:rPr>
        <w:footnoteRef/>
      </w:r>
      <w:r>
        <w:t xml:space="preserve"> S01, s. 143 </w:t>
      </w:r>
      <w:r>
        <w:rPr>
          <w:color w:val="8A8178"/>
          <w:sz w:val="15"/>
        </w:rPr>
        <w:t xml:space="preserve">[S01-p143-s03]</w:t>
      </w:r>
      <w:r>
        <w:t xml:space="preserve">.</w:t>
      </w:r>
    </w:p>
  </w:footnote>
  <w:footnote w:id="48">
    <w:p>
      <w:pPr>
        <w:pStyle w:val="FootnoteText"/>
      </w:pPr>
      <w:r>
        <w:rPr>
          <w:rStyle w:val="FootnoteReference"/>
        </w:rPr>
        <w:footnoteRef/>
      </w:r>
      <w:r>
        <w:t xml:space="preserve"> S01, s. 143 </w:t>
      </w:r>
      <w:r>
        <w:rPr>
          <w:color w:val="8A8178"/>
          <w:sz w:val="15"/>
        </w:rPr>
        <w:t xml:space="preserve">[S01-p143-s04]</w:t>
      </w:r>
      <w:r>
        <w:t xml:space="preserve">.</w:t>
      </w:r>
    </w:p>
  </w:footnote>
  <w:footnote w:id="49">
    <w:p>
      <w:pPr>
        <w:pStyle w:val="FootnoteText"/>
      </w:pPr>
      <w:r>
        <w:rPr>
          <w:rStyle w:val="FootnoteReference"/>
        </w:rPr>
        <w:footnoteRef/>
      </w:r>
      <w:r>
        <w:t xml:space="preserve"> S01, s. 143–144 </w:t>
      </w:r>
      <w:r>
        <w:rPr>
          <w:color w:val="8A8178"/>
          <w:sz w:val="15"/>
        </w:rPr>
        <w:t xml:space="preserve">[S01-p143-s05, S01-p144-s01]</w:t>
      </w:r>
      <w:r>
        <w:t xml:space="preserve">.</w:t>
      </w:r>
    </w:p>
  </w:footnote>
  <w:footnote w:id="50">
    <w:p>
      <w:pPr>
        <w:pStyle w:val="FootnoteText"/>
      </w:pPr>
      <w:r>
        <w:rPr>
          <w:rStyle w:val="FootnoteReference"/>
        </w:rPr>
        <w:footnoteRef/>
      </w:r>
      <w:r>
        <w:t xml:space="preserve"> S01, s. 144 </w:t>
      </w:r>
      <w:r>
        <w:rPr>
          <w:color w:val="8A8178"/>
          <w:sz w:val="15"/>
        </w:rPr>
        <w:t xml:space="preserve">[S01-p144-s02]</w:t>
      </w:r>
      <w:r>
        <w:t xml:space="preserve">. Data bitwy pod Mohaczem — uwaga opracowującego.</w:t>
      </w:r>
    </w:p>
  </w:footnote>
  <w:footnote w:id="51">
    <w:p>
      <w:pPr>
        <w:pStyle w:val="FootnoteText"/>
      </w:pPr>
      <w:r>
        <w:rPr>
          <w:rStyle w:val="FootnoteReference"/>
        </w:rPr>
        <w:footnoteRef/>
      </w:r>
      <w:r>
        <w:t xml:space="preserve"> S07, s. 1 i 4 </w:t>
      </w:r>
      <w:r>
        <w:rPr>
          <w:color w:val="8A8178"/>
          <w:sz w:val="15"/>
        </w:rPr>
        <w:t xml:space="preserve">[S07-p01-s01, S07-p04-s03]</w:t>
      </w:r>
      <w:r>
        <w:t xml:space="preserve">.</w:t>
      </w:r>
    </w:p>
  </w:footnote>
  <w:footnote w:id="52">
    <w:p>
      <w:pPr>
        <w:pStyle w:val="FootnoteText"/>
      </w:pPr>
      <w:r>
        <w:rPr>
          <w:rStyle w:val="FootnoteReference"/>
        </w:rPr>
        <w:footnoteRef/>
      </w:r>
      <w:r>
        <w:t xml:space="preserve"> S07, s. 4 </w:t>
      </w:r>
      <w:r>
        <w:rPr>
          <w:color w:val="8A8178"/>
          <w:sz w:val="15"/>
        </w:rPr>
        <w:t xml:space="preserve">[S07-p04-s03]</w:t>
      </w:r>
      <w:r>
        <w:t xml:space="preserve"> (odczyt nazwiska niepewny).</w:t>
      </w:r>
    </w:p>
  </w:footnote>
  <w:footnote w:id="53">
    <w:p>
      <w:pPr>
        <w:pStyle w:val="FootnoteText"/>
      </w:pPr>
      <w:r>
        <w:rPr>
          <w:rStyle w:val="FootnoteReference"/>
        </w:rPr>
        <w:footnoteRef/>
      </w:r>
      <w:r>
        <w:t xml:space="preserve"> Dopisek odręczny w egzemplarzu S01, s. 139 </w:t>
      </w:r>
      <w:r>
        <w:rPr>
          <w:color w:val="8A8178"/>
          <w:sz w:val="15"/>
        </w:rPr>
        <w:t xml:space="preserve">[S01-p139-s04]</w:t>
      </w:r>
      <w:r>
        <w:t xml:space="preserve">; zob. </w:t>
      </w:r>
      <w:r>
        <w:rPr>
          <w:rFonts w:ascii="Consolas" w:hAnsi="Consolas"/>
        </w:rPr>
        <w:t xml:space="preserve">dane/watpliwosci.md</w:t>
      </w:r>
      <w:r>
        <w:t xml:space="preserve">.</w:t>
      </w:r>
    </w:p>
  </w:footnote>
  <w:footnote w:id="54">
    <w:p>
      <w:pPr>
        <w:pStyle w:val="FootnoteText"/>
      </w:pPr>
      <w:r>
        <w:rPr>
          <w:rStyle w:val="FootnoteReference"/>
        </w:rPr>
        <w:footnoteRef/>
      </w:r>
      <w:r>
        <w:t xml:space="preserve"> S02, s. 3 </w:t>
      </w:r>
      <w:r>
        <w:rPr>
          <w:color w:val="8A8178"/>
          <w:sz w:val="15"/>
        </w:rPr>
        <w:t xml:space="preserve">[S02-p03-s01]</w:t>
      </w:r>
      <w:r>
        <w:t xml:space="preserve"> (za: A. Pawiński, </w:t>
      </w:r>
      <w:r>
        <w:rPr>
          <w:i/>
        </w:rPr>
        <w:t xml:space="preserve">Wielkopolska</w:t>
      </w:r>
      <w:r>
        <w:t xml:space="preserve"> t. II, s. 289); S08, s. 128 </w:t>
      </w:r>
      <w:r>
        <w:rPr>
          <w:color w:val="8A8178"/>
          <w:sz w:val="15"/>
        </w:rPr>
        <w:t xml:space="preserve">[S08-p128-s04]</w:t>
      </w:r>
      <w:r>
        <w:t xml:space="preserve">.</w:t>
      </w:r>
    </w:p>
  </w:footnote>
  <w:footnote w:id="55">
    <w:p>
      <w:pPr>
        <w:pStyle w:val="FootnoteText"/>
      </w:pPr>
      <w:r>
        <w:rPr>
          <w:rStyle w:val="FootnoteReference"/>
        </w:rPr>
        <w:footnoteRef/>
      </w:r>
      <w:r>
        <w:t xml:space="preserve"> S08, s. 128–129 </w:t>
      </w:r>
      <w:r>
        <w:rPr>
          <w:color w:val="8A8178"/>
          <w:sz w:val="15"/>
        </w:rPr>
        <w:t xml:space="preserve">[S08-p128-s04, S08-p129-s01]</w:t>
      </w:r>
      <w:r>
        <w:t xml:space="preserve">.</w:t>
      </w:r>
    </w:p>
  </w:footnote>
  <w:footnote w:id="56">
    <w:p>
      <w:pPr>
        <w:pStyle w:val="FootnoteText"/>
      </w:pPr>
      <w:r>
        <w:rPr>
          <w:rStyle w:val="FootnoteReference"/>
        </w:rPr>
        <w:footnoteRef/>
      </w:r>
      <w:r>
        <w:t xml:space="preserve"> S02, s. 23 </w:t>
      </w:r>
      <w:r>
        <w:rPr>
          <w:color w:val="8A8178"/>
          <w:sz w:val="15"/>
        </w:rPr>
        <w:t xml:space="preserve">[S02-p23-s01]</w:t>
      </w:r>
      <w:r>
        <w:t xml:space="preserve"> (za: W. Szczygielski, </w:t>
      </w:r>
      <w:r>
        <w:rPr>
          <w:i/>
        </w:rPr>
        <w:t xml:space="preserve">Produkcja rolnicza gospodarstwa folwarcznego w Wieluńskim</w:t>
      </w:r>
      <w:r>
        <w:t xml:space="preserve">, 1963, s. 141).</w:t>
      </w:r>
    </w:p>
  </w:footnote>
  <w:footnote w:id="57">
    <w:p>
      <w:pPr>
        <w:pStyle w:val="FootnoteText"/>
      </w:pPr>
      <w:r>
        <w:rPr>
          <w:rStyle w:val="FootnoteReference"/>
        </w:rPr>
        <w:footnoteRef/>
      </w:r>
      <w:r>
        <w:t xml:space="preserve"> S02, s. 19 </w:t>
      </w:r>
      <w:r>
        <w:rPr>
          <w:color w:val="8A8178"/>
          <w:sz w:val="15"/>
        </w:rPr>
        <w:t xml:space="preserve">[S02-p19-s03]</w:t>
      </w:r>
      <w:r>
        <w:t xml:space="preserve">.</w:t>
      </w:r>
    </w:p>
  </w:footnote>
  <w:footnote w:id="58">
    <w:p>
      <w:pPr>
        <w:pStyle w:val="FootnoteText"/>
      </w:pPr>
      <w:r>
        <w:rPr>
          <w:rStyle w:val="FootnoteReference"/>
        </w:rPr>
        <w:footnoteRef/>
      </w:r>
      <w:r>
        <w:t xml:space="preserve"> S07, s. 22 </w:t>
      </w:r>
      <w:r>
        <w:rPr>
          <w:color w:val="8A8178"/>
          <w:sz w:val="15"/>
        </w:rPr>
        <w:t xml:space="preserve">[S07-p22-s04, S07-p22-s05, S07-p22-s06]</w:t>
      </w:r>
      <w:r>
        <w:t xml:space="preserve">.</w:t>
      </w:r>
    </w:p>
  </w:footnote>
  <w:footnote w:id="59">
    <w:p>
      <w:pPr>
        <w:pStyle w:val="FootnoteText"/>
      </w:pPr>
      <w:r>
        <w:rPr>
          <w:rStyle w:val="FootnoteReference"/>
        </w:rPr>
        <w:footnoteRef/>
      </w:r>
      <w:r>
        <w:t xml:space="preserve"> S08, s. 144, 146–147 </w:t>
      </w:r>
      <w:r>
        <w:rPr>
          <w:color w:val="8A8178"/>
          <w:sz w:val="15"/>
        </w:rPr>
        <w:t xml:space="preserve">[S08-p144-s01, S08-p146-s03, S08-p147-s01]</w:t>
      </w:r>
      <w:r>
        <w:t xml:space="preserve">.</w:t>
      </w:r>
    </w:p>
  </w:footnote>
  <w:footnote w:id="60">
    <w:p>
      <w:pPr>
        <w:pStyle w:val="FootnoteText"/>
      </w:pPr>
      <w:r>
        <w:rPr>
          <w:rStyle w:val="FootnoteReference"/>
        </w:rPr>
        <w:footnoteRef/>
      </w:r>
      <w:r>
        <w:t xml:space="preserve"> S08, s. 73 </w:t>
      </w:r>
      <w:r>
        <w:rPr>
          <w:color w:val="8A8178"/>
          <w:sz w:val="15"/>
        </w:rPr>
        <w:t xml:space="preserve">[S08-p073-s01]</w:t>
      </w:r>
      <w:r>
        <w:t xml:space="preserve">.</w:t>
      </w:r>
    </w:p>
  </w:footnote>
  <w:footnote w:id="61">
    <w:p>
      <w:pPr>
        <w:pStyle w:val="FootnoteText"/>
      </w:pPr>
      <w:r>
        <w:rPr>
          <w:rStyle w:val="FootnoteReference"/>
        </w:rPr>
        <w:footnoteRef/>
      </w:r>
      <w:r>
        <w:t xml:space="preserve"> S02, s. 10–11 </w:t>
      </w:r>
      <w:r>
        <w:rPr>
          <w:color w:val="8A8178"/>
          <w:sz w:val="15"/>
        </w:rPr>
        <w:t xml:space="preserve">[S02-p10-s03, S02-p11-s01]</w:t>
      </w:r>
      <w:r>
        <w:t xml:space="preserve"> (cytat z W. Szczygielskiego, </w:t>
      </w:r>
      <w:r>
        <w:rPr>
          <w:i/>
        </w:rPr>
        <w:t xml:space="preserve">Dzieje Ziemi Wieluńskiej</w:t>
      </w:r>
      <w:r>
        <w:t xml:space="preserve">, 1969).</w:t>
      </w:r>
    </w:p>
  </w:footnote>
  <w:footnote w:id="62">
    <w:p>
      <w:pPr>
        <w:pStyle w:val="FootnoteText"/>
      </w:pPr>
      <w:r>
        <w:rPr>
          <w:rStyle w:val="FootnoteReference"/>
        </w:rPr>
        <w:footnoteRef/>
      </w:r>
      <w:r>
        <w:t xml:space="preserve"> S01, s. 144–145 </w:t>
      </w:r>
      <w:r>
        <w:rPr>
          <w:color w:val="8A8178"/>
          <w:sz w:val="15"/>
        </w:rPr>
        <w:t xml:space="preserve">[S01-p144-s04, S01-p145-s01, S01-p145-s02]</w:t>
      </w:r>
      <w:r>
        <w:t xml:space="preserve">.</w:t>
      </w:r>
    </w:p>
  </w:footnote>
  <w:footnote w:id="63">
    <w:p>
      <w:pPr>
        <w:pStyle w:val="FootnoteText"/>
      </w:pPr>
      <w:r>
        <w:rPr>
          <w:rStyle w:val="FootnoteReference"/>
        </w:rPr>
        <w:footnoteRef/>
      </w:r>
      <w:r>
        <w:t xml:space="preserve"> S02, s. 11 </w:t>
      </w:r>
      <w:r>
        <w:rPr>
          <w:color w:val="8A8178"/>
          <w:sz w:val="15"/>
        </w:rPr>
        <w:t xml:space="preserve">[S02-p11-s01]</w:t>
      </w:r>
      <w:r>
        <w:t xml:space="preserve">.</w:t>
      </w:r>
    </w:p>
  </w:footnote>
  <w:footnote w:id="64">
    <w:p>
      <w:pPr>
        <w:pStyle w:val="FootnoteText"/>
      </w:pPr>
      <w:r>
        <w:rPr>
          <w:rStyle w:val="FootnoteReference"/>
        </w:rPr>
        <w:footnoteRef/>
      </w:r>
      <w:r>
        <w:t xml:space="preserve"> S07, s. 1 i 4 </w:t>
      </w:r>
      <w:r>
        <w:rPr>
          <w:color w:val="8A8178"/>
          <w:sz w:val="15"/>
        </w:rPr>
        <w:t xml:space="preserve">[S07-p01-s01, S07-p04-s04]</w:t>
      </w:r>
      <w:r>
        <w:t xml:space="preserve">.</w:t>
      </w:r>
    </w:p>
  </w:footnote>
  <w:footnote w:id="65">
    <w:p>
      <w:pPr>
        <w:pStyle w:val="FootnoteText"/>
      </w:pPr>
      <w:r>
        <w:rPr>
          <w:rStyle w:val="FootnoteReference"/>
        </w:rPr>
        <w:footnoteRef/>
      </w:r>
      <w:r>
        <w:t xml:space="preserve"> S02, s. 8–9 </w:t>
      </w:r>
      <w:r>
        <w:rPr>
          <w:color w:val="8A8178"/>
          <w:sz w:val="15"/>
        </w:rPr>
        <w:t xml:space="preserve">[S02-p08-s02, S02-p09-s01]</w:t>
      </w:r>
      <w:r>
        <w:t xml:space="preserve">; S10, s. 2–3 </w:t>
      </w:r>
      <w:r>
        <w:rPr>
          <w:color w:val="8A8178"/>
          <w:sz w:val="15"/>
        </w:rPr>
        <w:t xml:space="preserve">[S10-p2-s04, S10-p3-s01]</w:t>
      </w:r>
      <w:r>
        <w:t xml:space="preserve">.</w:t>
      </w:r>
    </w:p>
  </w:footnote>
  <w:footnote w:id="66">
    <w:p>
      <w:pPr>
        <w:pStyle w:val="FootnoteText"/>
      </w:pPr>
      <w:r>
        <w:rPr>
          <w:rStyle w:val="FootnoteReference"/>
        </w:rPr>
        <w:footnoteRef/>
      </w:r>
      <w:r>
        <w:t xml:space="preserve"> S07, s. 5 </w:t>
      </w:r>
      <w:r>
        <w:rPr>
          <w:color w:val="8A8178"/>
          <w:sz w:val="15"/>
        </w:rPr>
        <w:t xml:space="preserve">[S07-p05-s01]</w:t>
      </w:r>
      <w:r>
        <w:t xml:space="preserve">.</w:t>
      </w:r>
    </w:p>
  </w:footnote>
  <w:footnote w:id="67">
    <w:p>
      <w:pPr>
        <w:pStyle w:val="FootnoteText"/>
      </w:pPr>
      <w:r>
        <w:rPr>
          <w:rStyle w:val="FootnoteReference"/>
        </w:rPr>
        <w:footnoteRef/>
      </w:r>
      <w:r>
        <w:t xml:space="preserve"> S02, s. 17–19 </w:t>
      </w:r>
      <w:r>
        <w:rPr>
          <w:color w:val="8A8178"/>
          <w:sz w:val="15"/>
        </w:rPr>
        <w:t xml:space="preserve">[S02-p17-s01, S02-p18-s01, S02-p19-s01]</w:t>
      </w:r>
      <w:r>
        <w:t xml:space="preserve">. Uwaga opracowującego (za S02): w 1607 r. Jerzy, ur. ok. 1534, miałby ok. 73 lata.</w:t>
      </w:r>
    </w:p>
  </w:footnote>
  <w:footnote w:id="68">
    <w:p>
      <w:pPr>
        <w:pStyle w:val="FootnoteText"/>
      </w:pPr>
      <w:r>
        <w:rPr>
          <w:rStyle w:val="FootnoteReference"/>
        </w:rPr>
        <w:footnoteRef/>
      </w:r>
      <w:r>
        <w:t xml:space="preserve"> S02, s. 19–20 </w:t>
      </w:r>
      <w:r>
        <w:rPr>
          <w:color w:val="8A8178"/>
          <w:sz w:val="15"/>
        </w:rPr>
        <w:t xml:space="preserve">[S02-p19-s03, S02-p20-s01]</w:t>
      </w:r>
      <w:r>
        <w:t xml:space="preserve">; S07, s. 4 </w:t>
      </w:r>
      <w:r>
        <w:rPr>
          <w:color w:val="8A8178"/>
          <w:sz w:val="15"/>
        </w:rPr>
        <w:t xml:space="preserve">[S07-p04-s04]</w:t>
      </w:r>
      <w:r>
        <w:t xml:space="preserve">.</w:t>
      </w:r>
    </w:p>
  </w:footnote>
  <w:footnote w:id="69">
    <w:p>
      <w:pPr>
        <w:pStyle w:val="FootnoteText"/>
      </w:pPr>
      <w:r>
        <w:rPr>
          <w:rStyle w:val="FootnoteReference"/>
        </w:rPr>
        <w:footnoteRef/>
      </w:r>
      <w:r>
        <w:t xml:space="preserve"> S08, s. 73 </w:t>
      </w:r>
      <w:r>
        <w:rPr>
          <w:color w:val="8A8178"/>
          <w:sz w:val="15"/>
        </w:rPr>
        <w:t xml:space="preserve">[S08-p073-s01]</w:t>
      </w:r>
      <w:r>
        <w:t xml:space="preserve">.</w:t>
      </w:r>
    </w:p>
  </w:footnote>
  <w:footnote w:id="70">
    <w:p>
      <w:pPr>
        <w:pStyle w:val="FootnoteText"/>
      </w:pPr>
      <w:r>
        <w:rPr>
          <w:rStyle w:val="FootnoteReference"/>
        </w:rPr>
        <w:footnoteRef/>
      </w:r>
      <w:r>
        <w:t xml:space="preserve"> S02, s. 9 </w:t>
      </w:r>
      <w:r>
        <w:rPr>
          <w:color w:val="8A8178"/>
          <w:sz w:val="15"/>
        </w:rPr>
        <w:t xml:space="preserve">[S02-p09-s01]</w:t>
      </w:r>
      <w:r>
        <w:t xml:space="preserve">; S10, s. 3 </w:t>
      </w:r>
      <w:r>
        <w:rPr>
          <w:color w:val="8A8178"/>
          <w:sz w:val="15"/>
        </w:rPr>
        <w:t xml:space="preserve">[S10-p3-s01]</w:t>
      </w:r>
      <w:r>
        <w:t xml:space="preserve">.</w:t>
      </w:r>
    </w:p>
  </w:footnote>
  <w:footnote w:id="71">
    <w:p>
      <w:pPr>
        <w:pStyle w:val="FootnoteText"/>
      </w:pPr>
      <w:r>
        <w:rPr>
          <w:rStyle w:val="FootnoteReference"/>
        </w:rPr>
        <w:footnoteRef/>
      </w:r>
      <w:r>
        <w:t xml:space="preserve"> S07, s. 1 i 58 </w:t>
      </w:r>
      <w:r>
        <w:rPr>
          <w:color w:val="8A8178"/>
          <w:sz w:val="15"/>
        </w:rPr>
        <w:t xml:space="preserve">[S07-p01-s01, S07-p58-s05]</w:t>
      </w:r>
      <w:r>
        <w:t xml:space="preserve">.</w:t>
      </w:r>
    </w:p>
  </w:footnote>
  <w:footnote w:id="72">
    <w:p>
      <w:pPr>
        <w:pStyle w:val="FootnoteText"/>
      </w:pPr>
      <w:r>
        <w:rPr>
          <w:rStyle w:val="FootnoteReference"/>
        </w:rPr>
        <w:footnoteRef/>
      </w:r>
      <w:r>
        <w:t xml:space="preserve"> S07, s. 4 </w:t>
      </w:r>
      <w:r>
        <w:rPr>
          <w:color w:val="8A8178"/>
          <w:sz w:val="15"/>
        </w:rPr>
        <w:t xml:space="preserve">[S07-p04-s04]</w:t>
      </w:r>
      <w:r>
        <w:t xml:space="preserve">.</w:t>
      </w:r>
    </w:p>
  </w:footnote>
  <w:footnote w:id="73">
    <w:p>
      <w:pPr>
        <w:pStyle w:val="FootnoteText"/>
      </w:pPr>
      <w:r>
        <w:rPr>
          <w:rStyle w:val="FootnoteReference"/>
        </w:rPr>
        <w:footnoteRef/>
      </w:r>
      <w:r>
        <w:t xml:space="preserve"> S08, s. 73 </w:t>
      </w:r>
      <w:r>
        <w:rPr>
          <w:color w:val="8A8178"/>
          <w:sz w:val="15"/>
        </w:rPr>
        <w:t xml:space="preserve">[S08-p073-s01]</w:t>
      </w:r>
      <w:r>
        <w:t xml:space="preserve">.</w:t>
      </w:r>
    </w:p>
  </w:footnote>
  <w:footnote w:id="74">
    <w:p>
      <w:pPr>
        <w:pStyle w:val="FootnoteText"/>
      </w:pPr>
      <w:r>
        <w:rPr>
          <w:rStyle w:val="FootnoteReference"/>
        </w:rPr>
        <w:footnoteRef/>
      </w:r>
      <w:r>
        <w:t xml:space="preserve"> S01, s. 145 i przypis 12 na s. 144 </w:t>
      </w:r>
      <w:r>
        <w:rPr>
          <w:color w:val="8A8178"/>
          <w:sz w:val="15"/>
        </w:rPr>
        <w:t xml:space="preserve">[S01-p145-s01, S01-p144-f12]</w:t>
      </w:r>
      <w:r>
        <w:t xml:space="preserve">.</w:t>
      </w:r>
    </w:p>
  </w:footnote>
  <w:footnote w:id="75">
    <w:p>
      <w:pPr>
        <w:pStyle w:val="FootnoteText"/>
      </w:pPr>
      <w:r>
        <w:rPr>
          <w:rStyle w:val="FootnoteReference"/>
        </w:rPr>
        <w:footnoteRef/>
      </w:r>
      <w:r>
        <w:t xml:space="preserve"> S02, s. 11–12 </w:t>
      </w:r>
      <w:r>
        <w:rPr>
          <w:color w:val="8A8178"/>
          <w:sz w:val="15"/>
        </w:rPr>
        <w:t xml:space="preserve">[S02-p11-s01, S02-p12-s01]</w:t>
      </w:r>
      <w:r>
        <w:t xml:space="preserve">.</w:t>
      </w:r>
    </w:p>
  </w:footnote>
  <w:footnote w:id="76">
    <w:p>
      <w:pPr>
        <w:pStyle w:val="FootnoteText"/>
      </w:pPr>
      <w:r>
        <w:rPr>
          <w:rStyle w:val="FootnoteReference"/>
        </w:rPr>
        <w:footnoteRef/>
      </w:r>
      <w:r>
        <w:t xml:space="preserve"> S02, s. 12 </w:t>
      </w:r>
      <w:r>
        <w:rPr>
          <w:color w:val="8A8178"/>
          <w:sz w:val="15"/>
        </w:rPr>
        <w:t xml:space="preserve">[S02-p12-s01]</w:t>
      </w:r>
      <w:r>
        <w:t xml:space="preserve">.</w:t>
      </w:r>
    </w:p>
  </w:footnote>
  <w:footnote w:id="77">
    <w:p>
      <w:pPr>
        <w:pStyle w:val="FootnoteText"/>
      </w:pPr>
      <w:r>
        <w:rPr>
          <w:rStyle w:val="FootnoteReference"/>
        </w:rPr>
        <w:footnoteRef/>
      </w:r>
      <w:r>
        <w:t xml:space="preserve"> S02, s. 15–16 </w:t>
      </w:r>
      <w:r>
        <w:rPr>
          <w:color w:val="8A8178"/>
          <w:sz w:val="15"/>
        </w:rPr>
        <w:t xml:space="preserve">[S02-p15-s01, S02-p16-s01]</w:t>
      </w:r>
      <w:r>
        <w:t xml:space="preserve">.</w:t>
      </w:r>
    </w:p>
  </w:footnote>
  <w:footnote w:id="78">
    <w:p>
      <w:pPr>
        <w:pStyle w:val="FootnoteText"/>
      </w:pPr>
      <w:r>
        <w:rPr>
          <w:rStyle w:val="FootnoteReference"/>
        </w:rPr>
        <w:footnoteRef/>
      </w:r>
      <w:r>
        <w:t xml:space="preserve"> S07, s. 1 i 5 </w:t>
      </w:r>
      <w:r>
        <w:rPr>
          <w:color w:val="8A8178"/>
          <w:sz w:val="15"/>
        </w:rPr>
        <w:t xml:space="preserve">[S07-p01-s01, S07-p05-s02]</w:t>
      </w:r>
      <w:r>
        <w:t xml:space="preserve">.</w:t>
      </w:r>
    </w:p>
  </w:footnote>
  <w:footnote w:id="79">
    <w:p>
      <w:pPr>
        <w:pStyle w:val="FootnoteText"/>
      </w:pPr>
      <w:r>
        <w:rPr>
          <w:rStyle w:val="FootnoteReference"/>
        </w:rPr>
        <w:footnoteRef/>
      </w:r>
      <w:r>
        <w:t xml:space="preserve"> S02, s. 9–10 </w:t>
      </w:r>
      <w:r>
        <w:rPr>
          <w:color w:val="8A8178"/>
          <w:sz w:val="15"/>
        </w:rPr>
        <w:t xml:space="preserve">[S02-p09-s01, S02-p10-s01]</w:t>
      </w:r>
      <w:r>
        <w:t xml:space="preserve">; S10, s. 3 </w:t>
      </w:r>
      <w:r>
        <w:rPr>
          <w:color w:val="8A8178"/>
          <w:sz w:val="15"/>
        </w:rPr>
        <w:t xml:space="preserve">[S10-p3-s01]</w:t>
      </w:r>
      <w:r>
        <w:t xml:space="preserve">.</w:t>
      </w:r>
    </w:p>
  </w:footnote>
  <w:footnote w:id="80">
    <w:p>
      <w:pPr>
        <w:pStyle w:val="FootnoteText"/>
      </w:pPr>
      <w:r>
        <w:rPr>
          <w:rStyle w:val="FootnoteReference"/>
        </w:rPr>
        <w:footnoteRef/>
      </w:r>
      <w:r>
        <w:t xml:space="preserve"> S07, s. 5 </w:t>
      </w:r>
      <w:r>
        <w:rPr>
          <w:color w:val="8A8178"/>
          <w:sz w:val="15"/>
        </w:rPr>
        <w:t xml:space="preserve">[S07-p05-s02]</w:t>
      </w:r>
      <w:r>
        <w:t xml:space="preserve">.</w:t>
      </w:r>
    </w:p>
  </w:footnote>
  <w:footnote w:id="81">
    <w:p>
      <w:pPr>
        <w:pStyle w:val="FootnoteText"/>
      </w:pPr>
      <w:r>
        <w:rPr>
          <w:rStyle w:val="FootnoteReference"/>
        </w:rPr>
        <w:footnoteRef/>
      </w:r>
      <w:r>
        <w:t xml:space="preserve"> S07, s. 2 </w:t>
      </w:r>
      <w:r>
        <w:rPr>
          <w:color w:val="8A8178"/>
          <w:sz w:val="15"/>
        </w:rPr>
        <w:t xml:space="preserve">[S07-p02-s01, S07-p02-s02]</w:t>
      </w:r>
      <w:r>
        <w:t xml:space="preserve">. Rozważanie o wieku — uwaga opracowującego.</w:t>
      </w:r>
    </w:p>
  </w:footnote>
  <w:footnote w:id="82">
    <w:p>
      <w:pPr>
        <w:pStyle w:val="FootnoteText"/>
      </w:pPr>
      <w:r>
        <w:rPr>
          <w:rStyle w:val="FootnoteReference"/>
        </w:rPr>
        <w:footnoteRef/>
      </w:r>
      <w:r>
        <w:t xml:space="preserve"> S02, s. 9 </w:t>
      </w:r>
      <w:r>
        <w:rPr>
          <w:color w:val="8A8178"/>
          <w:sz w:val="15"/>
        </w:rPr>
        <w:t xml:space="preserve">[S02-p09-s01]</w:t>
      </w:r>
      <w:r>
        <w:t xml:space="preserve">; S10, s. 3 </w:t>
      </w:r>
      <w:r>
        <w:rPr>
          <w:color w:val="8A8178"/>
          <w:sz w:val="15"/>
        </w:rPr>
        <w:t xml:space="preserve">[S10-p3-s01]</w:t>
      </w:r>
      <w:r>
        <w:t xml:space="preserve">.</w:t>
      </w:r>
    </w:p>
  </w:footnote>
  <w:footnote w:id="83">
    <w:p>
      <w:pPr>
        <w:pStyle w:val="FootnoteText"/>
      </w:pPr>
      <w:r>
        <w:rPr>
          <w:rStyle w:val="FootnoteReference"/>
        </w:rPr>
        <w:footnoteRef/>
      </w:r>
      <w:r>
        <w:t xml:space="preserve"> S07, s. 22 </w:t>
      </w:r>
      <w:r>
        <w:rPr>
          <w:color w:val="8A8178"/>
          <w:sz w:val="15"/>
        </w:rPr>
        <w:t xml:space="preserve">[S07-p22-s08]</w:t>
      </w:r>
      <w:r>
        <w:t xml:space="preserve">; także S03, s. 29 </w:t>
      </w:r>
      <w:r>
        <w:rPr>
          <w:color w:val="8A8178"/>
          <w:sz w:val="15"/>
        </w:rPr>
        <w:t xml:space="preserve">[S03-p29-s04]</w:t>
      </w:r>
      <w:r>
        <w:t xml:space="preserve">.</w:t>
      </w:r>
    </w:p>
  </w:footnote>
  <w:footnote w:id="84">
    <w:p>
      <w:pPr>
        <w:pStyle w:val="FootnoteText"/>
      </w:pPr>
      <w:r>
        <w:rPr>
          <w:rStyle w:val="FootnoteReference"/>
        </w:rPr>
        <w:footnoteRef/>
      </w:r>
      <w:r>
        <w:t xml:space="preserve"> S02, s. 20 </w:t>
      </w:r>
      <w:r>
        <w:rPr>
          <w:color w:val="8A8178"/>
          <w:sz w:val="15"/>
        </w:rPr>
        <w:t xml:space="preserve">[S02-p20-s02, S02-p20-f9]</w:t>
      </w:r>
      <w:r>
        <w:t xml:space="preserve">.</w:t>
      </w:r>
    </w:p>
  </w:footnote>
  <w:footnote w:id="85">
    <w:p>
      <w:pPr>
        <w:pStyle w:val="FootnoteText"/>
      </w:pPr>
      <w:r>
        <w:rPr>
          <w:rStyle w:val="FootnoteReference"/>
        </w:rPr>
        <w:footnoteRef/>
      </w:r>
      <w:r>
        <w:t xml:space="preserve"> S07, s. 22 i 58 </w:t>
      </w:r>
      <w:r>
        <w:rPr>
          <w:color w:val="8A8178"/>
          <w:sz w:val="15"/>
        </w:rPr>
        <w:t xml:space="preserve">[S07-p22-s07, S07-p58-s02]</w:t>
      </w:r>
      <w:r>
        <w:t xml:space="preserve"> (nazwisko Barbary odczytane niepewnie).</w:t>
      </w:r>
    </w:p>
  </w:footnote>
  <w:footnote w:id="86">
    <w:p>
      <w:pPr>
        <w:pStyle w:val="FootnoteText"/>
      </w:pPr>
      <w:r>
        <w:rPr>
          <w:rStyle w:val="FootnoteReference"/>
        </w:rPr>
        <w:footnoteRef/>
      </w:r>
      <w:r>
        <w:t xml:space="preserve"> S10, s. 2–3 </w:t>
      </w:r>
      <w:r>
        <w:rPr>
          <w:color w:val="8A8178"/>
          <w:sz w:val="15"/>
        </w:rPr>
        <w:t xml:space="preserve">[S10-p2-s04, S10-p3-s01]</w:t>
      </w:r>
      <w:r>
        <w:t xml:space="preserve">; S02, s. 8–10 </w:t>
      </w:r>
      <w:r>
        <w:rPr>
          <w:color w:val="8A8178"/>
          <w:sz w:val="15"/>
        </w:rPr>
        <w:t xml:space="preserve">[S02-p08-s02, S02-p09-s01, S02-p10-s01]</w:t>
      </w:r>
      <w:r>
        <w:t xml:space="preserve">.</w:t>
      </w:r>
    </w:p>
  </w:footnote>
  <w:footnote w:id="87">
    <w:p>
      <w:pPr>
        <w:pStyle w:val="FootnoteText"/>
      </w:pPr>
      <w:r>
        <w:rPr>
          <w:rStyle w:val="FootnoteReference"/>
        </w:rPr>
        <w:footnoteRef/>
      </w:r>
      <w:r>
        <w:t xml:space="preserve"> S08, s. 73 </w:t>
      </w:r>
      <w:r>
        <w:rPr>
          <w:color w:val="8A8178"/>
          <w:sz w:val="15"/>
        </w:rPr>
        <w:t xml:space="preserve">[S08-p073-s01]</w:t>
      </w:r>
      <w:r>
        <w:t xml:space="preserve">.</w:t>
      </w:r>
    </w:p>
  </w:footnote>
  <w:footnote w:id="88">
    <w:p>
      <w:pPr>
        <w:pStyle w:val="FootnoteText"/>
      </w:pPr>
      <w:r>
        <w:rPr>
          <w:rStyle w:val="FootnoteReference"/>
        </w:rPr>
        <w:footnoteRef/>
      </w:r>
      <w:r>
        <w:t xml:space="preserve"> S08, s. 73, przypis 11 </w:t>
      </w:r>
      <w:r>
        <w:rPr>
          <w:color w:val="8A8178"/>
          <w:sz w:val="15"/>
        </w:rPr>
        <w:t xml:space="preserve">[S08-p073-f11]</w:t>
      </w:r>
      <w:r>
        <w:t xml:space="preserve">.</w:t>
      </w:r>
    </w:p>
  </w:footnote>
  <w:footnote w:id="89">
    <w:p>
      <w:pPr>
        <w:pStyle w:val="FootnoteText"/>
      </w:pPr>
      <w:r>
        <w:rPr>
          <w:rStyle w:val="FootnoteReference"/>
        </w:rPr>
        <w:footnoteRef/>
      </w:r>
      <w:r>
        <w:t xml:space="preserve"> S07, s. 58 </w:t>
      </w:r>
      <w:r>
        <w:rPr>
          <w:color w:val="8A8178"/>
          <w:sz w:val="15"/>
        </w:rPr>
        <w:t xml:space="preserve">[S07-p58-s05]</w:t>
      </w:r>
      <w:r>
        <w:t xml:space="preserve">.</w:t>
      </w:r>
    </w:p>
  </w:footnote>
  <w:footnote w:id="90">
    <w:p>
      <w:pPr>
        <w:pStyle w:val="FootnoteText"/>
      </w:pPr>
      <w:r>
        <w:rPr>
          <w:rStyle w:val="FootnoteReference"/>
        </w:rPr>
        <w:footnoteRef/>
      </w:r>
      <w:r>
        <w:t xml:space="preserve"> S02, s. 4 </w:t>
      </w:r>
      <w:r>
        <w:rPr>
          <w:color w:val="8A8178"/>
          <w:sz w:val="15"/>
        </w:rPr>
        <w:t xml:space="preserve">[S02-p04-s01, S02-p04-s02]</w:t>
      </w:r>
      <w:r>
        <w:t xml:space="preserve">; S08, s. 123 </w:t>
      </w:r>
      <w:r>
        <w:rPr>
          <w:color w:val="8A8178"/>
          <w:sz w:val="15"/>
        </w:rPr>
        <w:t xml:space="preserve">[S08-p123-s04]</w:t>
      </w:r>
      <w:r>
        <w:t xml:space="preserve">; S03, s. 29 </w:t>
      </w:r>
      <w:r>
        <w:rPr>
          <w:color w:val="8A8178"/>
          <w:sz w:val="15"/>
        </w:rPr>
        <w:t xml:space="preserve">[S03-p29-s02]</w:t>
      </w:r>
      <w:r>
        <w:t xml:space="preserve">.</w:t>
      </w:r>
    </w:p>
  </w:footnote>
  <w:footnote w:id="91">
    <w:p>
      <w:pPr>
        <w:pStyle w:val="FootnoteText"/>
      </w:pPr>
      <w:r>
        <w:rPr>
          <w:rStyle w:val="FootnoteReference"/>
        </w:rPr>
        <w:footnoteRef/>
      </w:r>
      <w:r>
        <w:t xml:space="preserve"> S08, s. 123 </w:t>
      </w:r>
      <w:r>
        <w:rPr>
          <w:color w:val="8A8178"/>
          <w:sz w:val="15"/>
        </w:rPr>
        <w:t xml:space="preserve">[S08-p123-s04]</w:t>
      </w:r>
      <w:r>
        <w:t xml:space="preserve">; S02, s. 4 </w:t>
      </w:r>
      <w:r>
        <w:rPr>
          <w:color w:val="8A8178"/>
          <w:sz w:val="15"/>
        </w:rPr>
        <w:t xml:space="preserve">[S02-p04-s02]</w:t>
      </w:r>
      <w:r>
        <w:t xml:space="preserve">.</w:t>
      </w:r>
    </w:p>
  </w:footnote>
  <w:footnote w:id="92">
    <w:p>
      <w:pPr>
        <w:pStyle w:val="FootnoteText"/>
      </w:pPr>
      <w:r>
        <w:rPr>
          <w:rStyle w:val="FootnoteReference"/>
        </w:rPr>
        <w:footnoteRef/>
      </w:r>
      <w:r>
        <w:t xml:space="preserve"> S07, s. 2, 22–24 </w:t>
      </w:r>
      <w:r>
        <w:rPr>
          <w:color w:val="8A8178"/>
          <w:sz w:val="15"/>
        </w:rPr>
        <w:t xml:space="preserve">[S07-p02-s02, S07-p23-s01, S07-p24-s01, S07-p24-s02, S07-p24-s03, S07-p24-s04, S07-p24-s05]</w:t>
      </w:r>
      <w:r>
        <w:t xml:space="preserve">; S05, s. 1 </w:t>
      </w:r>
      <w:r>
        <w:rPr>
          <w:color w:val="8A8178"/>
          <w:sz w:val="15"/>
        </w:rPr>
        <w:t xml:space="preserve">[S05-p01-s03]</w:t>
      </w:r>
      <w:r>
        <w:t xml:space="preserve">.</w:t>
      </w:r>
    </w:p>
  </w:footnote>
  <w:footnote w:id="93">
    <w:p>
      <w:pPr>
        <w:pStyle w:val="FootnoteText"/>
      </w:pPr>
      <w:r>
        <w:rPr>
          <w:rStyle w:val="FootnoteReference"/>
        </w:rPr>
        <w:footnoteRef/>
      </w:r>
      <w:r>
        <w:t xml:space="preserve"> S07, s. 2 </w:t>
      </w:r>
      <w:r>
        <w:rPr>
          <w:color w:val="8A8178"/>
          <w:sz w:val="15"/>
        </w:rPr>
        <w:t xml:space="preserve">[S07-p02-s01, S07-p02-s02]</w:t>
      </w:r>
      <w:r>
        <w:t xml:space="preserve">.</w:t>
      </w:r>
    </w:p>
  </w:footnote>
  <w:footnote w:id="94">
    <w:p>
      <w:pPr>
        <w:pStyle w:val="FootnoteText"/>
      </w:pPr>
      <w:r>
        <w:rPr>
          <w:rStyle w:val="FootnoteReference"/>
        </w:rPr>
        <w:footnoteRef/>
      </w:r>
      <w:r>
        <w:t xml:space="preserve"> S07, s. 1 i 5 </w:t>
      </w:r>
      <w:r>
        <w:rPr>
          <w:color w:val="8A8178"/>
          <w:sz w:val="15"/>
        </w:rPr>
        <w:t xml:space="preserve">[S07-p01-s01, S07-p05-s03]</w:t>
      </w:r>
      <w:r>
        <w:t xml:space="preserve">.</w:t>
      </w:r>
    </w:p>
  </w:footnote>
  <w:footnote w:id="95">
    <w:p>
      <w:pPr>
        <w:pStyle w:val="FootnoteText"/>
      </w:pPr>
      <w:r>
        <w:rPr>
          <w:rStyle w:val="FootnoteReference"/>
        </w:rPr>
        <w:footnoteRef/>
      </w:r>
      <w:r>
        <w:t xml:space="preserve"> S08, s. 129 </w:t>
      </w:r>
      <w:r>
        <w:rPr>
          <w:color w:val="8A8178"/>
          <w:sz w:val="15"/>
        </w:rPr>
        <w:t xml:space="preserve">[S08-p129-s02]</w:t>
      </w:r>
      <w:r>
        <w:t xml:space="preserve">.</w:t>
      </w:r>
    </w:p>
  </w:footnote>
  <w:footnote w:id="96">
    <w:p>
      <w:pPr>
        <w:pStyle w:val="FootnoteText"/>
      </w:pPr>
      <w:r>
        <w:rPr>
          <w:rStyle w:val="FootnoteReference"/>
        </w:rPr>
        <w:footnoteRef/>
      </w:r>
      <w:r>
        <w:t xml:space="preserve"> S08, s. 129 </w:t>
      </w:r>
      <w:r>
        <w:rPr>
          <w:color w:val="8A8178"/>
          <w:sz w:val="15"/>
        </w:rPr>
        <w:t xml:space="preserve">[S08-p129-s03]</w:t>
      </w:r>
      <w:r>
        <w:t xml:space="preserve">.</w:t>
      </w:r>
    </w:p>
  </w:footnote>
  <w:footnote w:id="97">
    <w:p>
      <w:pPr>
        <w:pStyle w:val="FootnoteText"/>
      </w:pPr>
      <w:r>
        <w:rPr>
          <w:rStyle w:val="FootnoteReference"/>
        </w:rPr>
        <w:footnoteRef/>
      </w:r>
      <w:r>
        <w:t xml:space="preserve"> S08, s. 129–130 </w:t>
      </w:r>
      <w:r>
        <w:rPr>
          <w:color w:val="8A8178"/>
          <w:sz w:val="15"/>
        </w:rPr>
        <w:t xml:space="preserve">[S08-p129-s03, S08-p130-s01]</w:t>
      </w:r>
      <w:r>
        <w:t xml:space="preserve">.</w:t>
      </w:r>
    </w:p>
  </w:footnote>
  <w:footnote w:id="98">
    <w:p>
      <w:pPr>
        <w:pStyle w:val="FootnoteText"/>
      </w:pPr>
      <w:r>
        <w:rPr>
          <w:rStyle w:val="FootnoteReference"/>
        </w:rPr>
        <w:footnoteRef/>
      </w:r>
      <w:r>
        <w:t xml:space="preserve"> S08, s. 130 </w:t>
      </w:r>
      <w:r>
        <w:rPr>
          <w:color w:val="8A8178"/>
          <w:sz w:val="15"/>
        </w:rPr>
        <w:t xml:space="preserve">[S08-p130-s02]</w:t>
      </w:r>
      <w:r>
        <w:t xml:space="preserve">.</w:t>
      </w:r>
    </w:p>
  </w:footnote>
  <w:footnote w:id="99">
    <w:p>
      <w:pPr>
        <w:pStyle w:val="FootnoteText"/>
      </w:pPr>
      <w:r>
        <w:rPr>
          <w:rStyle w:val="FootnoteReference"/>
        </w:rPr>
        <w:footnoteRef/>
      </w:r>
      <w:r>
        <w:t xml:space="preserve"> S08, s. 130 </w:t>
      </w:r>
      <w:r>
        <w:rPr>
          <w:color w:val="8A8178"/>
          <w:sz w:val="15"/>
        </w:rPr>
        <w:t xml:space="preserve">[S08-p130-s01]</w:t>
      </w:r>
      <w:r>
        <w:t xml:space="preserve">.</w:t>
      </w:r>
    </w:p>
  </w:footnote>
  <w:footnote w:id="100">
    <w:p>
      <w:pPr>
        <w:pStyle w:val="FootnoteText"/>
      </w:pPr>
      <w:r>
        <w:rPr>
          <w:rStyle w:val="FootnoteReference"/>
        </w:rPr>
        <w:footnoteRef/>
      </w:r>
      <w:r>
        <w:t xml:space="preserve"> S08, s. 130 </w:t>
      </w:r>
      <w:r>
        <w:rPr>
          <w:color w:val="8A8178"/>
          <w:sz w:val="15"/>
        </w:rPr>
        <w:t xml:space="preserve">[S08-p130-s03]</w:t>
      </w:r>
      <w:r>
        <w:t xml:space="preserve">.</w:t>
      </w:r>
    </w:p>
  </w:footnote>
  <w:footnote w:id="101">
    <w:p>
      <w:pPr>
        <w:pStyle w:val="FootnoteText"/>
      </w:pPr>
      <w:r>
        <w:rPr>
          <w:rStyle w:val="FootnoteReference"/>
        </w:rPr>
        <w:footnoteRef/>
      </w:r>
      <w:r>
        <w:t xml:space="preserve"> S07, s. 1 i 5 </w:t>
      </w:r>
      <w:r>
        <w:rPr>
          <w:color w:val="8A8178"/>
          <w:sz w:val="15"/>
        </w:rPr>
        <w:t xml:space="preserve">[S07-p01-s01, S07-p05-s04]</w:t>
      </w:r>
      <w:r>
        <w:t xml:space="preserve">.</w:t>
      </w:r>
    </w:p>
  </w:footnote>
  <w:footnote w:id="102">
    <w:p>
      <w:pPr>
        <w:pStyle w:val="FootnoteText"/>
      </w:pPr>
      <w:r>
        <w:rPr>
          <w:rStyle w:val="FootnoteReference"/>
        </w:rPr>
        <w:footnoteRef/>
      </w:r>
      <w:r>
        <w:t xml:space="preserve"> S07, s. 1, 2 i 5 </w:t>
      </w:r>
      <w:r>
        <w:rPr>
          <w:color w:val="8A8178"/>
          <w:sz w:val="15"/>
        </w:rPr>
        <w:t xml:space="preserve">[S07-p01-s01, S07-p02-s02, S07-p05-s05]</w:t>
      </w:r>
      <w:r>
        <w:t xml:space="preserve">.</w:t>
      </w:r>
    </w:p>
  </w:footnote>
  <w:footnote w:id="103">
    <w:p>
      <w:pPr>
        <w:pStyle w:val="FootnoteText"/>
      </w:pPr>
      <w:r>
        <w:rPr>
          <w:rStyle w:val="FootnoteReference"/>
        </w:rPr>
        <w:footnoteRef/>
      </w:r>
      <w:r>
        <w:t xml:space="preserve"> S07, s. 1 </w:t>
      </w:r>
      <w:r>
        <w:rPr>
          <w:color w:val="8A8178"/>
          <w:sz w:val="15"/>
        </w:rPr>
        <w:t xml:space="preserve">[S07-p01-s01]</w:t>
      </w:r>
      <w:r>
        <w:t xml:space="preserve">; S03, s. 11 </w:t>
      </w:r>
      <w:r>
        <w:rPr>
          <w:color w:val="8A8178"/>
          <w:sz w:val="15"/>
        </w:rPr>
        <w:t xml:space="preserve">[S03-p11-s01]</w:t>
      </w:r>
      <w:r>
        <w:t xml:space="preserve">.</w:t>
      </w:r>
    </w:p>
  </w:footnote>
  <w:footnote w:id="104">
    <w:p>
      <w:pPr>
        <w:pStyle w:val="FootnoteText"/>
      </w:pPr>
      <w:r>
        <w:rPr>
          <w:rStyle w:val="FootnoteReference"/>
        </w:rPr>
        <w:footnoteRef/>
      </w:r>
      <w:r>
        <w:t xml:space="preserve"> S07, s. 5–6 </w:t>
      </w:r>
      <w:r>
        <w:rPr>
          <w:color w:val="8A8178"/>
          <w:sz w:val="15"/>
        </w:rPr>
        <w:t xml:space="preserve">[S07-p05-s05, S07-p06-s01]</w:t>
      </w:r>
      <w:r>
        <w:t xml:space="preserve"> (nazwa „Matyń” odczytana niepewnie).</w:t>
      </w:r>
    </w:p>
  </w:footnote>
  <w:footnote w:id="105">
    <w:p>
      <w:pPr>
        <w:pStyle w:val="FootnoteText"/>
      </w:pPr>
      <w:r>
        <w:rPr>
          <w:rStyle w:val="FootnoteReference"/>
        </w:rPr>
        <w:footnoteRef/>
      </w:r>
      <w:r>
        <w:t xml:space="preserve"> S08, s. 126 i 73 </w:t>
      </w:r>
      <w:r>
        <w:rPr>
          <w:color w:val="8A8178"/>
          <w:sz w:val="15"/>
        </w:rPr>
        <w:t xml:space="preserve">[S08-p126-s02, S08-p073-s01]</w:t>
      </w:r>
      <w:r>
        <w:t xml:space="preserve">.</w:t>
      </w:r>
    </w:p>
  </w:footnote>
  <w:footnote w:id="106">
    <w:p>
      <w:pPr>
        <w:pStyle w:val="FootnoteText"/>
      </w:pPr>
      <w:r>
        <w:rPr>
          <w:rStyle w:val="FootnoteReference"/>
        </w:rPr>
        <w:footnoteRef/>
      </w:r>
      <w:r>
        <w:t xml:space="preserve"> S05, s. 2 </w:t>
      </w:r>
      <w:r>
        <w:rPr>
          <w:color w:val="8A8178"/>
          <w:sz w:val="15"/>
        </w:rPr>
        <w:t xml:space="preserve">[S05-p02-s01]</w:t>
      </w:r>
      <w:r>
        <w:t xml:space="preserve">.</w:t>
      </w:r>
    </w:p>
  </w:footnote>
  <w:footnote w:id="107">
    <w:p>
      <w:pPr>
        <w:pStyle w:val="FootnoteText"/>
      </w:pPr>
      <w:r>
        <w:rPr>
          <w:rStyle w:val="FootnoteReference"/>
        </w:rPr>
        <w:footnoteRef/>
      </w:r>
      <w:r>
        <w:t xml:space="preserve"> S02, s. 21, dopisek na marginesie </w:t>
      </w:r>
      <w:r>
        <w:rPr>
          <w:color w:val="8A8178"/>
          <w:sz w:val="15"/>
        </w:rPr>
        <w:t xml:space="preserve">[S02-p21-d1]</w:t>
      </w:r>
      <w:r>
        <w:t xml:space="preserve">.</w:t>
      </w:r>
    </w:p>
  </w:footnote>
  <w:footnote w:id="108">
    <w:p>
      <w:pPr>
        <w:pStyle w:val="FootnoteText"/>
      </w:pPr>
      <w:r>
        <w:rPr>
          <w:rStyle w:val="FootnoteReference"/>
        </w:rPr>
        <w:footnoteRef/>
      </w:r>
      <w:r>
        <w:t xml:space="preserve"> S02, s. 8 </w:t>
      </w:r>
      <w:r>
        <w:rPr>
          <w:color w:val="8A8178"/>
          <w:sz w:val="15"/>
        </w:rPr>
        <w:t xml:space="preserve">[S02-p08-s02]</w:t>
      </w:r>
      <w:r>
        <w:t xml:space="preserve">; S10, s. 2 </w:t>
      </w:r>
      <w:r>
        <w:rPr>
          <w:color w:val="8A8178"/>
          <w:sz w:val="15"/>
        </w:rPr>
        <w:t xml:space="preserve">[S10-p2-s03]</w:t>
      </w:r>
      <w:r>
        <w:t xml:space="preserve">; S08, s. 126 </w:t>
      </w:r>
      <w:r>
        <w:rPr>
          <w:color w:val="8A8178"/>
          <w:sz w:val="15"/>
        </w:rPr>
        <w:t xml:space="preserve">[S08-p126-s02]</w:t>
      </w:r>
      <w:r>
        <w:t xml:space="preserve">.</w:t>
      </w:r>
    </w:p>
  </w:footnote>
  <w:footnote w:id="109">
    <w:p>
      <w:pPr>
        <w:pStyle w:val="FootnoteText"/>
      </w:pPr>
      <w:r>
        <w:rPr>
          <w:rStyle w:val="FootnoteReference"/>
        </w:rPr>
        <w:footnoteRef/>
      </w:r>
      <w:r>
        <w:t xml:space="preserve"> S08, s. 126–127 </w:t>
      </w:r>
      <w:r>
        <w:rPr>
          <w:color w:val="8A8178"/>
          <w:sz w:val="15"/>
        </w:rPr>
        <w:t xml:space="preserve">[S08-p126-s03, S08-p127-s01]</w:t>
      </w:r>
      <w:r>
        <w:t xml:space="preserve">.</w:t>
      </w:r>
    </w:p>
  </w:footnote>
  <w:footnote w:id="110">
    <w:p>
      <w:pPr>
        <w:pStyle w:val="FootnoteText"/>
      </w:pPr>
      <w:r>
        <w:rPr>
          <w:rStyle w:val="FootnoteReference"/>
        </w:rPr>
        <w:footnoteRef/>
      </w:r>
      <w:r>
        <w:t xml:space="preserve"> S08, s. 131 i 128 </w:t>
      </w:r>
      <w:r>
        <w:rPr>
          <w:color w:val="8A8178"/>
          <w:sz w:val="15"/>
        </w:rPr>
        <w:t xml:space="preserve">[S08-p131-s02, S08-p128-s02]</w:t>
      </w:r>
      <w:r>
        <w:t xml:space="preserve">; S10, s. 7–8 </w:t>
      </w:r>
      <w:r>
        <w:rPr>
          <w:color w:val="8A8178"/>
          <w:sz w:val="15"/>
        </w:rPr>
        <w:t xml:space="preserve">[S10-p7-s01, S10-p8-s01]</w:t>
      </w:r>
      <w:r>
        <w:t xml:space="preserve">.</w:t>
      </w:r>
    </w:p>
  </w:footnote>
  <w:footnote w:id="111">
    <w:p>
      <w:pPr>
        <w:pStyle w:val="FootnoteText"/>
      </w:pPr>
      <w:r>
        <w:rPr>
          <w:rStyle w:val="FootnoteReference"/>
        </w:rPr>
        <w:footnoteRef/>
      </w:r>
      <w:r>
        <w:t xml:space="preserve"> S10, s. 3–6 </w:t>
      </w:r>
      <w:r>
        <w:rPr>
          <w:color w:val="8A8178"/>
          <w:sz w:val="15"/>
        </w:rPr>
        <w:t xml:space="preserve">[S10-p3-s04, S10-p4-s01, S10-p5-s02, S10-p5-s03]</w:t>
      </w:r>
      <w:r>
        <w:t xml:space="preserve">; S08, s. 127–128 </w:t>
      </w:r>
      <w:r>
        <w:rPr>
          <w:color w:val="8A8178"/>
          <w:sz w:val="15"/>
        </w:rPr>
        <w:t xml:space="preserve">[S08-p127-s02, S08-p128-s01]</w:t>
      </w:r>
      <w:r>
        <w:t xml:space="preserve">.</w:t>
      </w:r>
    </w:p>
  </w:footnote>
  <w:footnote w:id="112">
    <w:p>
      <w:pPr>
        <w:pStyle w:val="FootnoteText"/>
      </w:pPr>
      <w:r>
        <w:rPr>
          <w:rStyle w:val="FootnoteReference"/>
        </w:rPr>
        <w:footnoteRef/>
      </w:r>
      <w:r>
        <w:t xml:space="preserve"> S08, s. 144–145 i przypis 23 </w:t>
      </w:r>
      <w:r>
        <w:rPr>
          <w:color w:val="8A8178"/>
          <w:sz w:val="15"/>
        </w:rPr>
        <w:t xml:space="preserve">[S08-p144-s01, S08-p145-s01, S08-p145-f23]</w:t>
      </w:r>
      <w:r>
        <w:t xml:space="preserve">.</w:t>
      </w:r>
    </w:p>
  </w:footnote>
  <w:footnote w:id="113">
    <w:p>
      <w:pPr>
        <w:pStyle w:val="FootnoteText"/>
      </w:pPr>
      <w:r>
        <w:rPr>
          <w:rStyle w:val="FootnoteReference"/>
        </w:rPr>
        <w:footnoteRef/>
      </w:r>
      <w:r>
        <w:t xml:space="preserve"> S08, s. 71 </w:t>
      </w:r>
      <w:r>
        <w:rPr>
          <w:color w:val="8A8178"/>
          <w:sz w:val="15"/>
        </w:rPr>
        <w:t xml:space="preserve">[S08-p071-s03, S08-p071-s04]</w:t>
      </w:r>
      <w:r>
        <w:t xml:space="preserve">; S03, s. 29 </w:t>
      </w:r>
      <w:r>
        <w:rPr>
          <w:color w:val="8A8178"/>
          <w:sz w:val="15"/>
        </w:rPr>
        <w:t xml:space="preserve">[S03-p29-s03]</w:t>
      </w:r>
      <w:r>
        <w:t xml:space="preserve">.</w:t>
      </w:r>
    </w:p>
  </w:footnote>
  <w:footnote w:id="114">
    <w:p>
      <w:pPr>
        <w:pStyle w:val="FootnoteText"/>
      </w:pPr>
      <w:r>
        <w:rPr>
          <w:rStyle w:val="FootnoteReference"/>
        </w:rPr>
        <w:footnoteRef/>
      </w:r>
      <w:r>
        <w:t xml:space="preserve"> S08, s. 71–73 </w:t>
      </w:r>
      <w:r>
        <w:rPr>
          <w:color w:val="8A8178"/>
          <w:sz w:val="15"/>
        </w:rPr>
        <w:t xml:space="preserve">[S08-p071-s04, S08-p072-s02, S08-p073-s01]</w:t>
      </w:r>
      <w:r>
        <w:t xml:space="preserve">.</w:t>
      </w:r>
    </w:p>
  </w:footnote>
  <w:footnote w:id="115">
    <w:p>
      <w:pPr>
        <w:pStyle w:val="FootnoteText"/>
      </w:pPr>
      <w:r>
        <w:rPr>
          <w:rStyle w:val="FootnoteReference"/>
        </w:rPr>
        <w:footnoteRef/>
      </w:r>
      <w:r>
        <w:t xml:space="preserve"> S08, s. 73 </w:t>
      </w:r>
      <w:r>
        <w:rPr>
          <w:color w:val="8A8178"/>
          <w:sz w:val="15"/>
        </w:rPr>
        <w:t xml:space="preserve">[S08-p073-s01]</w:t>
      </w:r>
      <w:r>
        <w:t xml:space="preserve">.</w:t>
      </w:r>
    </w:p>
  </w:footnote>
  <w:footnote w:id="116">
    <w:p>
      <w:pPr>
        <w:pStyle w:val="FootnoteText"/>
      </w:pPr>
      <w:r>
        <w:rPr>
          <w:rStyle w:val="FootnoteReference"/>
        </w:rPr>
        <w:footnoteRef/>
      </w:r>
      <w:r>
        <w:t xml:space="preserve"> S04, s. 2 </w:t>
      </w:r>
      <w:r>
        <w:rPr>
          <w:color w:val="8A8178"/>
          <w:sz w:val="15"/>
        </w:rPr>
        <w:t xml:space="preserve">[S04-p02-s02]</w:t>
      </w:r>
      <w:r>
        <w:t xml:space="preserve">.</w:t>
      </w:r>
    </w:p>
  </w:footnote>
  <w:footnote w:id="117">
    <w:p>
      <w:pPr>
        <w:pStyle w:val="FootnoteText"/>
      </w:pPr>
      <w:r>
        <w:rPr>
          <w:rStyle w:val="FootnoteReference"/>
        </w:rPr>
        <w:footnoteRef/>
      </w:r>
      <w:r>
        <w:t xml:space="preserve"> S03, s. 38 </w:t>
      </w:r>
      <w:r>
        <w:rPr>
          <w:color w:val="8A8178"/>
          <w:sz w:val="15"/>
        </w:rPr>
        <w:t xml:space="preserve">[S03-p38-s02]</w:t>
      </w:r>
      <w:r>
        <w:t xml:space="preserve">.</w:t>
      </w:r>
    </w:p>
  </w:footnote>
  <w:footnote w:id="118">
    <w:p>
      <w:pPr>
        <w:pStyle w:val="FootnoteText"/>
      </w:pPr>
      <w:r>
        <w:rPr>
          <w:rStyle w:val="FootnoteReference"/>
        </w:rPr>
        <w:footnoteRef/>
      </w:r>
      <w:r>
        <w:t xml:space="preserve"> S07, s. 1 i 6 </w:t>
      </w:r>
      <w:r>
        <w:rPr>
          <w:color w:val="8A8178"/>
          <w:sz w:val="15"/>
        </w:rPr>
        <w:t xml:space="preserve">[S07-p01-s01, S07-p06-s02]</w:t>
      </w:r>
      <w:r>
        <w:t xml:space="preserve">; S03, s. 7, 10, 11 </w:t>
      </w:r>
      <w:r>
        <w:rPr>
          <w:color w:val="8A8178"/>
          <w:sz w:val="15"/>
        </w:rPr>
        <w:t xml:space="preserve">[S03-p07-s01, S03-p10-s01, S03-p11-s01]</w:t>
      </w:r>
      <w:r>
        <w:t xml:space="preserve">.</w:t>
      </w:r>
    </w:p>
  </w:footnote>
  <w:footnote w:id="119">
    <w:p>
      <w:pPr>
        <w:pStyle w:val="FootnoteText"/>
      </w:pPr>
      <w:r>
        <w:rPr>
          <w:rStyle w:val="FootnoteReference"/>
        </w:rPr>
        <w:footnoteRef/>
      </w:r>
      <w:r>
        <w:t xml:space="preserve"> S07, s. 1 </w:t>
      </w:r>
      <w:r>
        <w:rPr>
          <w:color w:val="8A8178"/>
          <w:sz w:val="15"/>
        </w:rPr>
        <w:t xml:space="preserve">[S07-p01-s01]</w:t>
      </w:r>
      <w:r>
        <w:t xml:space="preserve">; S02, s. 21, dopisek </w:t>
      </w:r>
      <w:r>
        <w:rPr>
          <w:color w:val="8A8178"/>
          <w:sz w:val="15"/>
        </w:rPr>
        <w:t xml:space="preserve">[S02-p21-d1]</w:t>
      </w:r>
      <w:r>
        <w:t xml:space="preserve">.</w:t>
      </w:r>
    </w:p>
  </w:footnote>
  <w:footnote w:id="120">
    <w:p>
      <w:pPr>
        <w:pStyle w:val="FootnoteText"/>
      </w:pPr>
      <w:r>
        <w:rPr>
          <w:rStyle w:val="FootnoteReference"/>
        </w:rPr>
        <w:footnoteRef/>
      </w:r>
      <w:r>
        <w:t xml:space="preserve"> S07, s. 6 </w:t>
      </w:r>
      <w:r>
        <w:rPr>
          <w:color w:val="8A8178"/>
          <w:sz w:val="15"/>
        </w:rPr>
        <w:t xml:space="preserve">[S07-p06-s02]</w:t>
      </w:r>
      <w:r>
        <w:t xml:space="preserve">; S05, s. 1 </w:t>
      </w:r>
      <w:r>
        <w:rPr>
          <w:color w:val="8A8178"/>
          <w:sz w:val="15"/>
        </w:rPr>
        <w:t xml:space="preserve">[S05-p01-s02]</w:t>
      </w:r>
      <w:r>
        <w:t xml:space="preserve">.</w:t>
      </w:r>
    </w:p>
  </w:footnote>
  <w:footnote w:id="121">
    <w:p>
      <w:pPr>
        <w:pStyle w:val="FootnoteText"/>
      </w:pPr>
      <w:r>
        <w:rPr>
          <w:rStyle w:val="FootnoteReference"/>
        </w:rPr>
        <w:footnoteRef/>
      </w:r>
      <w:r>
        <w:t xml:space="preserve"> S07, s. 25 </w:t>
      </w:r>
      <w:r>
        <w:rPr>
          <w:color w:val="8A8178"/>
          <w:sz w:val="15"/>
        </w:rPr>
        <w:t xml:space="preserve">[S07-p25-s01, S07-p25-s02]</w:t>
      </w:r>
      <w:r>
        <w:t xml:space="preserve"> (nazwa „Kuchlin” odczytana niepewnie).</w:t>
      </w:r>
    </w:p>
  </w:footnote>
  <w:footnote w:id="122">
    <w:p>
      <w:pPr>
        <w:pStyle w:val="FootnoteText"/>
      </w:pPr>
      <w:r>
        <w:rPr>
          <w:rStyle w:val="FootnoteReference"/>
        </w:rPr>
        <w:footnoteRef/>
      </w:r>
      <w:r>
        <w:t xml:space="preserve"> S07, s. 25 </w:t>
      </w:r>
      <w:r>
        <w:rPr>
          <w:color w:val="8A8178"/>
          <w:sz w:val="15"/>
        </w:rPr>
        <w:t xml:space="preserve">[S07-p25-s02]</w:t>
      </w:r>
      <w:r>
        <w:t xml:space="preserve">.</w:t>
      </w:r>
    </w:p>
  </w:footnote>
  <w:footnote w:id="123">
    <w:p>
      <w:pPr>
        <w:pStyle w:val="FootnoteText"/>
      </w:pPr>
      <w:r>
        <w:rPr>
          <w:rStyle w:val="FootnoteReference"/>
        </w:rPr>
        <w:footnoteRef/>
      </w:r>
      <w:r>
        <w:t xml:space="preserve"> S08, s. 73–74 </w:t>
      </w:r>
      <w:r>
        <w:rPr>
          <w:color w:val="8A8178"/>
          <w:sz w:val="15"/>
        </w:rPr>
        <w:t xml:space="preserve">[S08-p073-s02, S08-p074-s01]</w:t>
      </w:r>
      <w:r>
        <w:t xml:space="preserve">.</w:t>
      </w:r>
    </w:p>
  </w:footnote>
  <w:footnote w:id="124">
    <w:p>
      <w:pPr>
        <w:pStyle w:val="FootnoteText"/>
      </w:pPr>
      <w:r>
        <w:rPr>
          <w:rStyle w:val="FootnoteReference"/>
        </w:rPr>
        <w:footnoteRef/>
      </w:r>
      <w:r>
        <w:t xml:space="preserve"> S07, s. 58 </w:t>
      </w:r>
      <w:r>
        <w:rPr>
          <w:color w:val="8A8178"/>
          <w:sz w:val="15"/>
        </w:rPr>
        <w:t xml:space="preserve">[S07-p58-s06]</w:t>
      </w:r>
      <w:r>
        <w:t xml:space="preserve">.</w:t>
      </w:r>
    </w:p>
  </w:footnote>
  <w:footnote w:id="125">
    <w:p>
      <w:pPr>
        <w:pStyle w:val="FootnoteText"/>
      </w:pPr>
      <w:r>
        <w:rPr>
          <w:rStyle w:val="FootnoteReference"/>
        </w:rPr>
        <w:footnoteRef/>
      </w:r>
      <w:r>
        <w:t xml:space="preserve"> S07, s. 25 i 56 </w:t>
      </w:r>
      <w:r>
        <w:rPr>
          <w:color w:val="8A8178"/>
          <w:sz w:val="15"/>
        </w:rPr>
        <w:t xml:space="preserve">[S07-p25-s03, S07-p56-s05]</w:t>
      </w:r>
      <w:r>
        <w:t xml:space="preserve">; S03, s. 35 </w:t>
      </w:r>
      <w:r>
        <w:rPr>
          <w:color w:val="8A8178"/>
          <w:sz w:val="15"/>
        </w:rPr>
        <w:t xml:space="preserve">[S03-p35-s01, S03-p35-s02]</w:t>
      </w:r>
      <w:r>
        <w:t xml:space="preserve">.</w:t>
      </w:r>
    </w:p>
  </w:footnote>
  <w:footnote w:id="126">
    <w:p>
      <w:pPr>
        <w:pStyle w:val="FootnoteText"/>
      </w:pPr>
      <w:r>
        <w:rPr>
          <w:rStyle w:val="FootnoteReference"/>
        </w:rPr>
        <w:footnoteRef/>
      </w:r>
      <w:r>
        <w:t xml:space="preserve"> S03, s. 25 </w:t>
      </w:r>
      <w:r>
        <w:rPr>
          <w:color w:val="8A8178"/>
          <w:sz w:val="15"/>
        </w:rPr>
        <w:t xml:space="preserve">[S03-p25-s02]</w:t>
      </w:r>
      <w:r>
        <w:t xml:space="preserve">; S08, s. 74 </w:t>
      </w:r>
      <w:r>
        <w:rPr>
          <w:color w:val="8A8178"/>
          <w:sz w:val="15"/>
        </w:rPr>
        <w:t xml:space="preserve">[S08-p074-s02]</w:t>
      </w:r>
      <w:r>
        <w:t xml:space="preserve">.</w:t>
      </w:r>
    </w:p>
  </w:footnote>
  <w:footnote w:id="127">
    <w:p>
      <w:pPr>
        <w:pStyle w:val="FootnoteText"/>
      </w:pPr>
      <w:r>
        <w:rPr>
          <w:rStyle w:val="FootnoteReference"/>
        </w:rPr>
        <w:footnoteRef/>
      </w:r>
      <w:r>
        <w:t xml:space="preserve"> S07, s. 6 </w:t>
      </w:r>
      <w:r>
        <w:rPr>
          <w:color w:val="8A8178"/>
          <w:sz w:val="15"/>
        </w:rPr>
        <w:t xml:space="preserve">[S07-p06-s03]</w:t>
      </w:r>
      <w:r>
        <w:t xml:space="preserve">; S03, s. 10 </w:t>
      </w:r>
      <w:r>
        <w:rPr>
          <w:color w:val="8A8178"/>
          <w:sz w:val="15"/>
        </w:rPr>
        <w:t xml:space="preserve">[S03-p10-s01]</w:t>
      </w:r>
      <w:r>
        <w:t xml:space="preserve">. Księga rodzinna podaje w jednym miejscu rok urodzenia Józefy „1867” (S03, s. 7 </w:t>
      </w:r>
      <w:r>
        <w:rPr>
          <w:color w:val="8A8178"/>
          <w:sz w:val="15"/>
        </w:rPr>
        <w:t xml:space="preserve">[S03-p07-s01]</w:t>
      </w:r>
      <w:r>
        <w:t xml:space="preserve">) — to oczywista omyłka zapisu.</w:t>
      </w:r>
    </w:p>
  </w:footnote>
  <w:footnote w:id="128">
    <w:p>
      <w:pPr>
        <w:pStyle w:val="FootnoteText"/>
      </w:pPr>
      <w:r>
        <w:rPr>
          <w:rStyle w:val="FootnoteReference"/>
        </w:rPr>
        <w:footnoteRef/>
      </w:r>
      <w:r>
        <w:t xml:space="preserve"> S07, s. 6 i 54 </w:t>
      </w:r>
      <w:r>
        <w:rPr>
          <w:color w:val="8A8178"/>
          <w:sz w:val="15"/>
        </w:rPr>
        <w:t xml:space="preserve">[S07-p06-s03, S07-p54-s02]</w:t>
      </w:r>
      <w:r>
        <w:t xml:space="preserve">; S03, s. 33 </w:t>
      </w:r>
      <w:r>
        <w:rPr>
          <w:color w:val="8A8178"/>
          <w:sz w:val="15"/>
        </w:rPr>
        <w:t xml:space="preserve">[S03-p33-s02]</w:t>
      </w:r>
      <w:r>
        <w:t xml:space="preserve">.</w:t>
      </w:r>
    </w:p>
  </w:footnote>
  <w:footnote w:id="129">
    <w:p>
      <w:pPr>
        <w:pStyle w:val="FootnoteText"/>
      </w:pPr>
      <w:r>
        <w:rPr>
          <w:rStyle w:val="FootnoteReference"/>
        </w:rPr>
        <w:footnoteRef/>
      </w:r>
      <w:r>
        <w:t xml:space="preserve"> S08, s. 74 </w:t>
      </w:r>
      <w:r>
        <w:rPr>
          <w:color w:val="8A8178"/>
          <w:sz w:val="15"/>
        </w:rPr>
        <w:t xml:space="preserve">[S08-p074-s02, S08-p074-f14]</w:t>
      </w:r>
      <w:r>
        <w:t xml:space="preserve">.</w:t>
      </w:r>
    </w:p>
  </w:footnote>
  <w:footnote w:id="130">
    <w:p>
      <w:pPr>
        <w:pStyle w:val="FootnoteText"/>
      </w:pPr>
      <w:r>
        <w:rPr>
          <w:rStyle w:val="FootnoteReference"/>
        </w:rPr>
        <w:footnoteRef/>
      </w:r>
      <w:r>
        <w:t xml:space="preserve"> S08, s. 74 </w:t>
      </w:r>
      <w:r>
        <w:rPr>
          <w:color w:val="8A8178"/>
          <w:sz w:val="15"/>
        </w:rPr>
        <w:t xml:space="preserve">[S08-p074-s02]</w:t>
      </w:r>
      <w:r>
        <w:t xml:space="preserve">.</w:t>
      </w:r>
    </w:p>
  </w:footnote>
  <w:footnote w:id="131">
    <w:p>
      <w:pPr>
        <w:pStyle w:val="FootnoteText"/>
      </w:pPr>
      <w:r>
        <w:rPr>
          <w:rStyle w:val="FootnoteReference"/>
        </w:rPr>
        <w:footnoteRef/>
      </w:r>
      <w:r>
        <w:t xml:space="preserve"> S05, s. 1 </w:t>
      </w:r>
      <w:r>
        <w:rPr>
          <w:color w:val="8A8178"/>
          <w:sz w:val="15"/>
        </w:rPr>
        <w:t xml:space="preserve">[S05-p01-s02]</w:t>
      </w:r>
      <w:r>
        <w:t xml:space="preserve">; S07, s. 54 </w:t>
      </w:r>
      <w:r>
        <w:rPr>
          <w:color w:val="8A8178"/>
          <w:sz w:val="15"/>
        </w:rPr>
        <w:t xml:space="preserve">[S07-p54-s01]</w:t>
      </w:r>
      <w:r>
        <w:t xml:space="preserve">; S08, s. 74 </w:t>
      </w:r>
      <w:r>
        <w:rPr>
          <w:color w:val="8A8178"/>
          <w:sz w:val="15"/>
        </w:rPr>
        <w:t xml:space="preserve">[S08-p074-s02]</w:t>
      </w:r>
      <w:r>
        <w:t xml:space="preserve">.</w:t>
      </w:r>
    </w:p>
  </w:footnote>
  <w:footnote w:id="132">
    <w:p>
      <w:pPr>
        <w:pStyle w:val="FootnoteText"/>
      </w:pPr>
      <w:r>
        <w:rPr>
          <w:rStyle w:val="FootnoteReference"/>
        </w:rPr>
        <w:footnoteRef/>
      </w:r>
      <w:r>
        <w:t xml:space="preserve"> S08, s. 74 </w:t>
      </w:r>
      <w:r>
        <w:rPr>
          <w:color w:val="8A8178"/>
          <w:sz w:val="15"/>
        </w:rPr>
        <w:t xml:space="preserve">[S08-p074-s02]</w:t>
      </w:r>
      <w:r>
        <w:t xml:space="preserve">.</w:t>
      </w:r>
    </w:p>
  </w:footnote>
  <w:footnote w:id="133">
    <w:p>
      <w:pPr>
        <w:pStyle w:val="FootnoteText"/>
      </w:pPr>
      <w:r>
        <w:rPr>
          <w:rStyle w:val="FootnoteReference"/>
        </w:rPr>
        <w:footnoteRef/>
      </w:r>
      <w:r>
        <w:t xml:space="preserve"> S07, s. 1 i 54 </w:t>
      </w:r>
      <w:r>
        <w:rPr>
          <w:color w:val="8A8178"/>
          <w:sz w:val="15"/>
        </w:rPr>
        <w:t xml:space="preserve">[S07-p01-s02, S07-p54-s02]</w:t>
      </w:r>
      <w:r>
        <w:t xml:space="preserve">; S03, s. 17, 25 </w:t>
      </w:r>
      <w:r>
        <w:rPr>
          <w:color w:val="8A8178"/>
          <w:sz w:val="15"/>
        </w:rPr>
        <w:t xml:space="preserve">[S03-p17-s03, S03-p25-s02, S03-p25-s03]</w:t>
      </w:r>
      <w:r>
        <w:t xml:space="preserve">.</w:t>
      </w:r>
    </w:p>
  </w:footnote>
  <w:footnote w:id="134">
    <w:p>
      <w:pPr>
        <w:pStyle w:val="FootnoteText"/>
      </w:pPr>
      <w:r>
        <w:rPr>
          <w:rStyle w:val="FootnoteReference"/>
        </w:rPr>
        <w:footnoteRef/>
      </w:r>
      <w:r>
        <w:t xml:space="preserve"> S07, s. 1 </w:t>
      </w:r>
      <w:r>
        <w:rPr>
          <w:color w:val="8A8178"/>
          <w:sz w:val="15"/>
        </w:rPr>
        <w:t xml:space="preserve">[S07-p01-s02]</w:t>
      </w:r>
      <w:r>
        <w:t xml:space="preserve">; S05, s. 1 </w:t>
      </w:r>
      <w:r>
        <w:rPr>
          <w:color w:val="8A8178"/>
          <w:sz w:val="15"/>
        </w:rPr>
        <w:t xml:space="preserve">[S05-p01-s02]</w:t>
      </w:r>
      <w:r>
        <w:t xml:space="preserve">; S03, s. 30 </w:t>
      </w:r>
      <w:r>
        <w:rPr>
          <w:color w:val="8A8178"/>
          <w:sz w:val="15"/>
        </w:rPr>
        <w:t xml:space="preserve">[S03-p30-s02]</w:t>
      </w:r>
      <w:r>
        <w:t xml:space="preserve">.</w:t>
      </w:r>
    </w:p>
  </w:footnote>
  <w:footnote w:id="135">
    <w:p>
      <w:pPr>
        <w:pStyle w:val="FootnoteText"/>
      </w:pPr>
      <w:r>
        <w:rPr>
          <w:rStyle w:val="FootnoteReference"/>
        </w:rPr>
        <w:footnoteRef/>
      </w:r>
      <w:r>
        <w:t xml:space="preserve"> S07, s. 1 </w:t>
      </w:r>
      <w:r>
        <w:rPr>
          <w:color w:val="8A8178"/>
          <w:sz w:val="15"/>
        </w:rPr>
        <w:t xml:space="preserve">[S07-p01-s02]</w:t>
      </w:r>
      <w:r>
        <w:t xml:space="preserve">; S03, s. 17–18, 25–26 </w:t>
      </w:r>
      <w:r>
        <w:rPr>
          <w:color w:val="8A8178"/>
          <w:sz w:val="15"/>
        </w:rPr>
        <w:t xml:space="preserve">[S03-p17-s04, S03-p18-s04, S03-p25-s04, S03-p26-s02, S03-p26-s03]</w:t>
      </w:r>
      <w:r>
        <w:t xml:space="preserve"> (nazwiska po mężach odczytane niepewnie).</w:t>
      </w:r>
    </w:p>
  </w:footnote>
  <w:footnote w:id="136">
    <w:p>
      <w:pPr>
        <w:pStyle w:val="FootnoteText"/>
      </w:pPr>
      <w:r>
        <w:rPr>
          <w:rStyle w:val="FootnoteReference"/>
        </w:rPr>
        <w:footnoteRef/>
      </w:r>
      <w:r>
        <w:t xml:space="preserve"> S08, s. 73–74 </w:t>
      </w:r>
      <w:r>
        <w:rPr>
          <w:color w:val="8A8178"/>
          <w:sz w:val="15"/>
        </w:rPr>
        <w:t xml:space="preserve">[S08-p073-s02, S08-p074-s03]</w:t>
      </w:r>
      <w:r>
        <w:t xml:space="preserve">; S07, s. 6 </w:t>
      </w:r>
      <w:r>
        <w:rPr>
          <w:color w:val="8A8178"/>
          <w:sz w:val="15"/>
        </w:rPr>
        <w:t xml:space="preserve">[S07-p06-s04]</w:t>
      </w:r>
      <w:r>
        <w:t xml:space="preserve">; S05, s. 2 </w:t>
      </w:r>
      <w:r>
        <w:rPr>
          <w:color w:val="8A8178"/>
          <w:sz w:val="15"/>
        </w:rPr>
        <w:t xml:space="preserve">[S05-p02-s01]</w:t>
      </w:r>
      <w:r>
        <w:t xml:space="preserve">.</w:t>
      </w:r>
    </w:p>
  </w:footnote>
  <w:footnote w:id="137">
    <w:p>
      <w:pPr>
        <w:pStyle w:val="FootnoteText"/>
      </w:pPr>
      <w:r>
        <w:rPr>
          <w:rStyle w:val="FootnoteReference"/>
        </w:rPr>
        <w:footnoteRef/>
      </w:r>
      <w:r>
        <w:t xml:space="preserve"> S08, s. 74–75 </w:t>
      </w:r>
      <w:r>
        <w:rPr>
          <w:color w:val="8A8178"/>
          <w:sz w:val="15"/>
        </w:rPr>
        <w:t xml:space="preserve">[S08-p074-s04, S08-p075-s01]</w:t>
      </w:r>
      <w:r>
        <w:t xml:space="preserve">.</w:t>
      </w:r>
    </w:p>
  </w:footnote>
  <w:footnote w:id="138">
    <w:p>
      <w:pPr>
        <w:pStyle w:val="FootnoteText"/>
      </w:pPr>
      <w:r>
        <w:rPr>
          <w:rStyle w:val="FootnoteReference"/>
        </w:rPr>
        <w:footnoteRef/>
      </w:r>
      <w:r>
        <w:t xml:space="preserve"> S08, s. 74 </w:t>
      </w:r>
      <w:r>
        <w:rPr>
          <w:color w:val="8A8178"/>
          <w:sz w:val="15"/>
        </w:rPr>
        <w:t xml:space="preserve">[S08-p074-s03]</w:t>
      </w:r>
      <w:r>
        <w:t xml:space="preserve">.</w:t>
      </w:r>
    </w:p>
  </w:footnote>
  <w:footnote w:id="139">
    <w:p>
      <w:pPr>
        <w:pStyle w:val="FootnoteText"/>
      </w:pPr>
      <w:r>
        <w:rPr>
          <w:rStyle w:val="FootnoteReference"/>
        </w:rPr>
        <w:footnoteRef/>
      </w:r>
      <w:r>
        <w:t xml:space="preserve"> S07, s. 6 </w:t>
      </w:r>
      <w:r>
        <w:rPr>
          <w:color w:val="8A8178"/>
          <w:sz w:val="15"/>
        </w:rPr>
        <w:t xml:space="preserve">[S07-p06-s04]</w:t>
      </w:r>
      <w:r>
        <w:t xml:space="preserve"> (słowo przy „serwitutach” odczytane niepewnie: „uniósł” albo „zniósł”).</w:t>
      </w:r>
    </w:p>
  </w:footnote>
  <w:footnote w:id="140">
    <w:p>
      <w:pPr>
        <w:pStyle w:val="FootnoteText"/>
      </w:pPr>
      <w:r>
        <w:rPr>
          <w:rStyle w:val="FootnoteReference"/>
        </w:rPr>
        <w:footnoteRef/>
      </w:r>
      <w:r>
        <w:t xml:space="preserve"> S07, s. 6–7 </w:t>
      </w:r>
      <w:r>
        <w:rPr>
          <w:color w:val="8A8178"/>
          <w:sz w:val="15"/>
        </w:rPr>
        <w:t xml:space="preserve">[S07-p06-s04, S07-p07-s02]</w:t>
      </w:r>
      <w:r>
        <w:t xml:space="preserve">; S03, s. 7 </w:t>
      </w:r>
      <w:r>
        <w:rPr>
          <w:color w:val="8A8178"/>
          <w:sz w:val="15"/>
        </w:rPr>
        <w:t xml:space="preserve">[S03-p07-s02]</w:t>
      </w:r>
      <w:r>
        <w:t xml:space="preserve">.</w:t>
      </w:r>
    </w:p>
  </w:footnote>
  <w:footnote w:id="141">
    <w:p>
      <w:pPr>
        <w:pStyle w:val="FootnoteText"/>
      </w:pPr>
      <w:r>
        <w:rPr>
          <w:rStyle w:val="FootnoteReference"/>
        </w:rPr>
        <w:footnoteRef/>
      </w:r>
      <w:r>
        <w:t xml:space="preserve"> S07, s. 6 </w:t>
      </w:r>
      <w:r>
        <w:rPr>
          <w:color w:val="8A8178"/>
          <w:sz w:val="15"/>
        </w:rPr>
        <w:t xml:space="preserve">[S07-p06-s04]</w:t>
      </w:r>
      <w:r>
        <w:t xml:space="preserve">; S05, s. 1 </w:t>
      </w:r>
      <w:r>
        <w:rPr>
          <w:color w:val="8A8178"/>
          <w:sz w:val="15"/>
        </w:rPr>
        <w:t xml:space="preserve">[S05-p01-s02]</w:t>
      </w:r>
      <w:r>
        <w:t xml:space="preserve">.</w:t>
      </w:r>
    </w:p>
  </w:footnote>
  <w:footnote w:id="142">
    <w:p>
      <w:pPr>
        <w:pStyle w:val="FootnoteText"/>
      </w:pPr>
      <w:r>
        <w:rPr>
          <w:rStyle w:val="FootnoteReference"/>
        </w:rPr>
        <w:footnoteRef/>
      </w:r>
      <w:r>
        <w:t xml:space="preserve"> S08, s. 77 </w:t>
      </w:r>
      <w:r>
        <w:rPr>
          <w:color w:val="8A8178"/>
          <w:sz w:val="15"/>
        </w:rPr>
        <w:t xml:space="preserve">[S08-p077-s02]</w:t>
      </w:r>
      <w:r>
        <w:t xml:space="preserve">.</w:t>
      </w:r>
    </w:p>
  </w:footnote>
  <w:footnote w:id="143">
    <w:p>
      <w:pPr>
        <w:pStyle w:val="FootnoteText"/>
      </w:pPr>
      <w:r>
        <w:rPr>
          <w:rStyle w:val="FootnoteReference"/>
        </w:rPr>
        <w:footnoteRef/>
      </w:r>
      <w:r>
        <w:t xml:space="preserve"> S07, s. 7 </w:t>
      </w:r>
      <w:r>
        <w:rPr>
          <w:color w:val="8A8178"/>
          <w:sz w:val="15"/>
        </w:rPr>
        <w:t xml:space="preserve">[S07-p07-s02]</w:t>
      </w:r>
      <w:r>
        <w:t xml:space="preserve">.</w:t>
      </w:r>
    </w:p>
  </w:footnote>
  <w:footnote w:id="144">
    <w:p>
      <w:pPr>
        <w:pStyle w:val="FootnoteText"/>
      </w:pPr>
      <w:r>
        <w:rPr>
          <w:rStyle w:val="FootnoteReference"/>
        </w:rPr>
        <w:footnoteRef/>
      </w:r>
      <w:r>
        <w:t xml:space="preserve"> S07, s. 6 </w:t>
      </w:r>
      <w:r>
        <w:rPr>
          <w:color w:val="8A8178"/>
          <w:sz w:val="15"/>
        </w:rPr>
        <w:t xml:space="preserve">[S07-p06-s04]</w:t>
      </w:r>
      <w:r>
        <w:t xml:space="preserve">; S05, s. 2 </w:t>
      </w:r>
      <w:r>
        <w:rPr>
          <w:color w:val="8A8178"/>
          <w:sz w:val="15"/>
        </w:rPr>
        <w:t xml:space="preserve">[S05-p02-s01]</w:t>
      </w:r>
      <w:r>
        <w:t xml:space="preserve">; S08, s. 74 </w:t>
      </w:r>
      <w:r>
        <w:rPr>
          <w:color w:val="8A8178"/>
          <w:sz w:val="15"/>
        </w:rPr>
        <w:t xml:space="preserve">[S08-p074-s03]</w:t>
      </w:r>
      <w:r>
        <w:t xml:space="preserve">.</w:t>
      </w:r>
    </w:p>
  </w:footnote>
  <w:footnote w:id="145">
    <w:p>
      <w:pPr>
        <w:pStyle w:val="FootnoteText"/>
      </w:pPr>
      <w:r>
        <w:rPr>
          <w:rStyle w:val="FootnoteReference"/>
        </w:rPr>
        <w:footnoteRef/>
      </w:r>
      <w:r>
        <w:t xml:space="preserve"> S07, s. 7 </w:t>
      </w:r>
      <w:r>
        <w:rPr>
          <w:color w:val="8A8178"/>
          <w:sz w:val="15"/>
        </w:rPr>
        <w:t xml:space="preserve">[S07-p07-s02]</w:t>
      </w:r>
      <w:r>
        <w:t xml:space="preserve">.</w:t>
      </w:r>
    </w:p>
  </w:footnote>
  <w:footnote w:id="146">
    <w:p>
      <w:pPr>
        <w:pStyle w:val="FootnoteText"/>
      </w:pPr>
      <w:r>
        <w:rPr>
          <w:rStyle w:val="FootnoteReference"/>
        </w:rPr>
        <w:footnoteRef/>
      </w:r>
      <w:r>
        <w:t xml:space="preserve"> S05, s. 2 </w:t>
      </w:r>
      <w:r>
        <w:rPr>
          <w:color w:val="8A8178"/>
          <w:sz w:val="15"/>
        </w:rPr>
        <w:t xml:space="preserve">[S05-p02-s01]</w:t>
      </w:r>
      <w:r>
        <w:t xml:space="preserve">.</w:t>
      </w:r>
    </w:p>
  </w:footnote>
  <w:footnote w:id="147">
    <w:p>
      <w:pPr>
        <w:pStyle w:val="FootnoteText"/>
      </w:pPr>
      <w:r>
        <w:rPr>
          <w:rStyle w:val="FootnoteReference"/>
        </w:rPr>
        <w:footnoteRef/>
      </w:r>
      <w:r>
        <w:t xml:space="preserve"> S08, s. 74 </w:t>
      </w:r>
      <w:r>
        <w:rPr>
          <w:color w:val="8A8178"/>
          <w:sz w:val="15"/>
        </w:rPr>
        <w:t xml:space="preserve">[S08-p074-s03]</w:t>
      </w:r>
      <w:r>
        <w:t xml:space="preserve">.</w:t>
      </w:r>
    </w:p>
  </w:footnote>
  <w:footnote w:id="148">
    <w:p>
      <w:pPr>
        <w:pStyle w:val="FootnoteText"/>
      </w:pPr>
      <w:r>
        <w:rPr>
          <w:rStyle w:val="FootnoteReference"/>
        </w:rPr>
        <w:footnoteRef/>
      </w:r>
      <w:r>
        <w:t xml:space="preserve"> S08, s. 74 </w:t>
      </w:r>
      <w:r>
        <w:rPr>
          <w:color w:val="8A8178"/>
          <w:sz w:val="15"/>
        </w:rPr>
        <w:t xml:space="preserve">[S08-p074-s03]</w:t>
      </w:r>
      <w:r>
        <w:t xml:space="preserve">; S07, s. 7–8 </w:t>
      </w:r>
      <w:r>
        <w:rPr>
          <w:color w:val="8A8178"/>
          <w:sz w:val="15"/>
        </w:rPr>
        <w:t xml:space="preserve">[S07-p07-s02, S07-p08-s01]</w:t>
      </w:r>
      <w:r>
        <w:t xml:space="preserve">. Identyfikacja wyrazu — uwaga opracowującego.</w:t>
      </w:r>
    </w:p>
  </w:footnote>
  <w:footnote w:id="149">
    <w:p>
      <w:pPr>
        <w:pStyle w:val="FootnoteText"/>
      </w:pPr>
      <w:r>
        <w:rPr>
          <w:rStyle w:val="FootnoteReference"/>
        </w:rPr>
        <w:footnoteRef/>
      </w:r>
      <w:r>
        <w:t xml:space="preserve"> S05, s. 1 </w:t>
      </w:r>
      <w:r>
        <w:rPr>
          <w:color w:val="8A8178"/>
          <w:sz w:val="15"/>
        </w:rPr>
        <w:t xml:space="preserve">[S05-p01-s01]</w:t>
      </w:r>
      <w:r>
        <w:t xml:space="preserve">; S07, s. 54 </w:t>
      </w:r>
      <w:r>
        <w:rPr>
          <w:color w:val="8A8178"/>
          <w:sz w:val="15"/>
        </w:rPr>
        <w:t xml:space="preserve">[S07-p54-s01]</w:t>
      </w:r>
      <w:r>
        <w:t xml:space="preserve">; S08, s. 74 </w:t>
      </w:r>
      <w:r>
        <w:rPr>
          <w:color w:val="8A8178"/>
          <w:sz w:val="15"/>
        </w:rPr>
        <w:t xml:space="preserve">[S08-p074-s01]</w:t>
      </w:r>
      <w:r>
        <w:t xml:space="preserve">.</w:t>
      </w:r>
    </w:p>
  </w:footnote>
  <w:footnote w:id="150">
    <w:p>
      <w:pPr>
        <w:pStyle w:val="FootnoteText"/>
      </w:pPr>
      <w:r>
        <w:rPr>
          <w:rStyle w:val="FootnoteReference"/>
        </w:rPr>
        <w:footnoteRef/>
      </w:r>
      <w:r>
        <w:t xml:space="preserve"> S05, s. 1 </w:t>
      </w:r>
      <w:r>
        <w:rPr>
          <w:color w:val="8A8178"/>
          <w:sz w:val="15"/>
        </w:rPr>
        <w:t xml:space="preserve">[S05-p01-s02]</w:t>
      </w:r>
      <w:r>
        <w:t xml:space="preserve">; S07, s. 54 </w:t>
      </w:r>
      <w:r>
        <w:rPr>
          <w:color w:val="8A8178"/>
          <w:sz w:val="15"/>
        </w:rPr>
        <w:t xml:space="preserve">[S07-p54-s01]</w:t>
      </w:r>
      <w:r>
        <w:t xml:space="preserve">; S03, s. 30 </w:t>
      </w:r>
      <w:r>
        <w:rPr>
          <w:color w:val="8A8178"/>
          <w:sz w:val="15"/>
        </w:rPr>
        <w:t xml:space="preserve">[S03-p30-s02]</w:t>
      </w:r>
      <w:r>
        <w:t xml:space="preserve">.</w:t>
      </w:r>
    </w:p>
  </w:footnote>
  <w:footnote w:id="151">
    <w:p>
      <w:pPr>
        <w:pStyle w:val="FootnoteText"/>
      </w:pPr>
      <w:r>
        <w:rPr>
          <w:rStyle w:val="FootnoteReference"/>
        </w:rPr>
        <w:footnoteRef/>
      </w:r>
      <w:r>
        <w:t xml:space="preserve"> S07, s. 1 i 16 </w:t>
      </w:r>
      <w:r>
        <w:rPr>
          <w:color w:val="8A8178"/>
          <w:sz w:val="15"/>
        </w:rPr>
        <w:t xml:space="preserve">[S07-p01-s03, S07-p16-s01]</w:t>
      </w:r>
      <w:r>
        <w:t xml:space="preserve">; S03, s. 17 </w:t>
      </w:r>
      <w:r>
        <w:rPr>
          <w:color w:val="8A8178"/>
          <w:sz w:val="15"/>
        </w:rPr>
        <w:t xml:space="preserve">[S03-p17-s02]</w:t>
      </w:r>
      <w:r>
        <w:t xml:space="preserve">.</w:t>
      </w:r>
    </w:p>
  </w:footnote>
  <w:footnote w:id="152">
    <w:p>
      <w:pPr>
        <w:pStyle w:val="FootnoteText"/>
      </w:pPr>
      <w:r>
        <w:rPr>
          <w:rStyle w:val="FootnoteReference"/>
        </w:rPr>
        <w:footnoteRef/>
      </w:r>
      <w:r>
        <w:t xml:space="preserve"> S07, s. 13 i 16 </w:t>
      </w:r>
      <w:r>
        <w:rPr>
          <w:color w:val="8A8178"/>
          <w:sz w:val="15"/>
        </w:rPr>
        <w:t xml:space="preserve">[S07-p13-s01, S07-p16-s02]</w:t>
      </w:r>
      <w:r>
        <w:t xml:space="preserve">; S05, s. 2 </w:t>
      </w:r>
      <w:r>
        <w:rPr>
          <w:color w:val="8A8178"/>
          <w:sz w:val="15"/>
        </w:rPr>
        <w:t xml:space="preserve">[S05-p02-s04]</w:t>
      </w:r>
      <w:r>
        <w:t xml:space="preserve">; S08, s. 77 </w:t>
      </w:r>
      <w:r>
        <w:rPr>
          <w:color w:val="8A8178"/>
          <w:sz w:val="15"/>
        </w:rPr>
        <w:t xml:space="preserve">[S08-p077-s02]</w:t>
      </w:r>
      <w:r>
        <w:t xml:space="preserve">.</w:t>
      </w:r>
    </w:p>
  </w:footnote>
  <w:footnote w:id="153">
    <w:p>
      <w:pPr>
        <w:pStyle w:val="FootnoteText"/>
      </w:pPr>
      <w:r>
        <w:rPr>
          <w:rStyle w:val="FootnoteReference"/>
        </w:rPr>
        <w:footnoteRef/>
      </w:r>
      <w:r>
        <w:t xml:space="preserve"> S07, s. 16 </w:t>
      </w:r>
      <w:r>
        <w:rPr>
          <w:color w:val="8A8178"/>
          <w:sz w:val="15"/>
        </w:rPr>
        <w:t xml:space="preserve">[S07-p16-s03, S07-p16-s04]</w:t>
      </w:r>
      <w:r>
        <w:t xml:space="preserve">; S03, s. 18 </w:t>
      </w:r>
      <w:r>
        <w:rPr>
          <w:color w:val="8A8178"/>
          <w:sz w:val="15"/>
        </w:rPr>
        <w:t xml:space="preserve">[S03-p18-s02]</w:t>
      </w:r>
      <w:r>
        <w:t xml:space="preserve">.</w:t>
      </w:r>
    </w:p>
  </w:footnote>
  <w:footnote w:id="154">
    <w:p>
      <w:pPr>
        <w:pStyle w:val="FootnoteText"/>
      </w:pPr>
      <w:r>
        <w:rPr>
          <w:rStyle w:val="FootnoteReference"/>
        </w:rPr>
        <w:footnoteRef/>
      </w:r>
      <w:r>
        <w:t xml:space="preserve"> S07, s. 1 i 16 </w:t>
      </w:r>
      <w:r>
        <w:rPr>
          <w:color w:val="8A8178"/>
          <w:sz w:val="15"/>
        </w:rPr>
        <w:t xml:space="preserve">[S07-p01-s03, S07-p16-s05]</w:t>
      </w:r>
      <w:r>
        <w:t xml:space="preserve">; S05, s. 1 </w:t>
      </w:r>
      <w:r>
        <w:rPr>
          <w:color w:val="8A8178"/>
          <w:sz w:val="15"/>
        </w:rPr>
        <w:t xml:space="preserve">[S05-p01-s02]</w:t>
      </w:r>
      <w:r>
        <w:t xml:space="preserve">.</w:t>
      </w:r>
    </w:p>
  </w:footnote>
  <w:footnote w:id="155">
    <w:p>
      <w:pPr>
        <w:pStyle w:val="FootnoteText"/>
      </w:pPr>
      <w:r>
        <w:rPr>
          <w:rStyle w:val="FootnoteReference"/>
        </w:rPr>
        <w:footnoteRef/>
      </w:r>
      <w:r>
        <w:t xml:space="preserve"> S07, s. 6–7 </w:t>
      </w:r>
      <w:r>
        <w:rPr>
          <w:color w:val="8A8178"/>
          <w:sz w:val="15"/>
        </w:rPr>
        <w:t xml:space="preserve">[S07-p06-s04, S07-p07-s01]</w:t>
      </w:r>
      <w:r>
        <w:t xml:space="preserve">; S05, s. 1 </w:t>
      </w:r>
      <w:r>
        <w:rPr>
          <w:color w:val="8A8178"/>
          <w:sz w:val="15"/>
        </w:rPr>
        <w:t xml:space="preserve">[S05-p01-s02]</w:t>
      </w:r>
      <w:r>
        <w:t xml:space="preserve">.</w:t>
      </w:r>
    </w:p>
  </w:footnote>
  <w:footnote w:id="156">
    <w:p>
      <w:pPr>
        <w:pStyle w:val="FootnoteText"/>
      </w:pPr>
      <w:r>
        <w:rPr>
          <w:rStyle w:val="FootnoteReference"/>
        </w:rPr>
        <w:footnoteRef/>
      </w:r>
      <w:r>
        <w:t xml:space="preserve"> S07, s. 61, dopisek </w:t>
      </w:r>
      <w:r>
        <w:rPr>
          <w:color w:val="8A8178"/>
          <w:sz w:val="15"/>
        </w:rPr>
        <w:t xml:space="preserve">[S07-p61-d1]</w:t>
      </w:r>
      <w:r>
        <w:t xml:space="preserve">.</w:t>
      </w:r>
    </w:p>
  </w:footnote>
  <w:footnote w:id="157">
    <w:p>
      <w:pPr>
        <w:pStyle w:val="FootnoteText"/>
      </w:pPr>
      <w:r>
        <w:rPr>
          <w:rStyle w:val="FootnoteReference"/>
        </w:rPr>
        <w:footnoteRef/>
      </w:r>
      <w:r>
        <w:t xml:space="preserve"> S07, s. 26 </w:t>
      </w:r>
      <w:r>
        <w:rPr>
          <w:color w:val="8A8178"/>
          <w:sz w:val="15"/>
        </w:rPr>
        <w:t xml:space="preserve">[S07-p26-s01]</w:t>
      </w:r>
      <w:r>
        <w:t xml:space="preserve">; S03, s. 33 </w:t>
      </w:r>
      <w:r>
        <w:rPr>
          <w:color w:val="8A8178"/>
          <w:sz w:val="15"/>
        </w:rPr>
        <w:t xml:space="preserve">[S03-p33-s02]</w:t>
      </w:r>
      <w:r>
        <w:t xml:space="preserve">.</w:t>
      </w:r>
    </w:p>
  </w:footnote>
  <w:footnote w:id="158">
    <w:p>
      <w:pPr>
        <w:pStyle w:val="FootnoteText"/>
      </w:pPr>
      <w:r>
        <w:rPr>
          <w:rStyle w:val="FootnoteReference"/>
        </w:rPr>
        <w:footnoteRef/>
      </w:r>
      <w:r>
        <w:t xml:space="preserve"> S07, s. 26–27 </w:t>
      </w:r>
      <w:r>
        <w:rPr>
          <w:color w:val="8A8178"/>
          <w:sz w:val="15"/>
        </w:rPr>
        <w:t xml:space="preserve">[S07-p26-s02, S07-p26-s03, S07-p27-s01]</w:t>
      </w:r>
      <w:r>
        <w:t xml:space="preserve">; S03, s. 23, 25, 31, 33 </w:t>
      </w:r>
      <w:r>
        <w:rPr>
          <w:color w:val="8A8178"/>
          <w:sz w:val="15"/>
        </w:rPr>
        <w:t xml:space="preserve">[S03-p23-s03, S03-p25-s03, S03-p31-s02, S03-p33-s02]</w:t>
      </w:r>
      <w:r>
        <w:t xml:space="preserve">; S07, s. 57 </w:t>
      </w:r>
      <w:r>
        <w:rPr>
          <w:color w:val="8A8178"/>
          <w:sz w:val="15"/>
        </w:rPr>
        <w:t xml:space="preserve">[S07-p57-s01]</w:t>
      </w:r>
      <w:r>
        <w:t xml:space="preserve">.</w:t>
      </w:r>
    </w:p>
  </w:footnote>
  <w:footnote w:id="159">
    <w:p>
      <w:pPr>
        <w:pStyle w:val="FootnoteText"/>
      </w:pPr>
      <w:r>
        <w:rPr>
          <w:rStyle w:val="FootnoteReference"/>
        </w:rPr>
        <w:footnoteRef/>
      </w:r>
      <w:r>
        <w:t xml:space="preserve"> S07, s. 27 </w:t>
      </w:r>
      <w:r>
        <w:rPr>
          <w:color w:val="8A8178"/>
          <w:sz w:val="15"/>
        </w:rPr>
        <w:t xml:space="preserve">[S07-p27-s02, S07-p27-s03, S07-p27-s04, S07-p27-s05, S07-p27-s06]</w:t>
      </w:r>
      <w:r>
        <w:t xml:space="preserve">; S07, s. 54–55 </w:t>
      </w:r>
      <w:r>
        <w:rPr>
          <w:color w:val="8A8178"/>
          <w:sz w:val="15"/>
        </w:rPr>
        <w:t xml:space="preserve">[S07-p54-s02, S07-p55-s02]</w:t>
      </w:r>
      <w:r>
        <w:t xml:space="preserve">; S03, s. 44 </w:t>
      </w:r>
      <w:r>
        <w:rPr>
          <w:color w:val="8A8178"/>
          <w:sz w:val="15"/>
        </w:rPr>
        <w:t xml:space="preserve">[S03-p44-s02]</w:t>
      </w:r>
      <w:r>
        <w:t xml:space="preserve">.</w:t>
      </w:r>
    </w:p>
  </w:footnote>
  <w:footnote w:id="160">
    <w:p>
      <w:pPr>
        <w:pStyle w:val="FootnoteText"/>
      </w:pPr>
      <w:r>
        <w:rPr>
          <w:rStyle w:val="FootnoteReference"/>
        </w:rPr>
        <w:footnoteRef/>
      </w:r>
      <w:r>
        <w:t xml:space="preserve"> S03, s. 31 </w:t>
      </w:r>
      <w:r>
        <w:rPr>
          <w:color w:val="8A8178"/>
          <w:sz w:val="15"/>
        </w:rPr>
        <w:t xml:space="preserve">[S03-p31-s02]</w:t>
      </w:r>
      <w:r>
        <w:t xml:space="preserve">; S07, s. 57 </w:t>
      </w:r>
      <w:r>
        <w:rPr>
          <w:color w:val="8A8178"/>
          <w:sz w:val="15"/>
        </w:rPr>
        <w:t xml:space="preserve">[S07-p57-s01]</w:t>
      </w:r>
      <w:r>
        <w:t xml:space="preserve">.</w:t>
      </w:r>
    </w:p>
  </w:footnote>
  <w:footnote w:id="161">
    <w:p>
      <w:pPr>
        <w:pStyle w:val="FootnoteText"/>
      </w:pPr>
      <w:r>
        <w:rPr>
          <w:rStyle w:val="FootnoteReference"/>
        </w:rPr>
        <w:footnoteRef/>
      </w:r>
      <w:r>
        <w:t xml:space="preserve"> S07, s. 61, dopisek </w:t>
      </w:r>
      <w:r>
        <w:rPr>
          <w:color w:val="8A8178"/>
          <w:sz w:val="15"/>
        </w:rPr>
        <w:t xml:space="preserve">[S07-p61-d1]</w:t>
      </w:r>
      <w:r>
        <w:t xml:space="preserve">.</w:t>
      </w:r>
    </w:p>
  </w:footnote>
  <w:footnote w:id="162">
    <w:p>
      <w:pPr>
        <w:pStyle w:val="FootnoteText"/>
      </w:pPr>
      <w:r>
        <w:rPr>
          <w:rStyle w:val="FootnoteReference"/>
        </w:rPr>
        <w:footnoteRef/>
      </w:r>
      <w:r>
        <w:t xml:space="preserve"> S07, s. 7 i 21 </w:t>
      </w:r>
      <w:r>
        <w:rPr>
          <w:color w:val="8A8178"/>
          <w:sz w:val="15"/>
        </w:rPr>
        <w:t xml:space="preserve">[S07-p07-s03, S07-p21-s04]</w:t>
      </w:r>
      <w:r>
        <w:t xml:space="preserve">; S03, s. 9 </w:t>
      </w:r>
      <w:r>
        <w:rPr>
          <w:color w:val="8A8178"/>
          <w:sz w:val="15"/>
        </w:rPr>
        <w:t xml:space="preserve">[S03-p09-s01]</w:t>
      </w:r>
      <w:r>
        <w:t xml:space="preserve">.</w:t>
      </w:r>
    </w:p>
  </w:footnote>
  <w:footnote w:id="163">
    <w:p>
      <w:pPr>
        <w:pStyle w:val="FootnoteText"/>
      </w:pPr>
      <w:r>
        <w:rPr>
          <w:rStyle w:val="FootnoteReference"/>
        </w:rPr>
        <w:footnoteRef/>
      </w:r>
      <w:r>
        <w:t xml:space="preserve"> S03, s. 9 </w:t>
      </w:r>
      <w:r>
        <w:rPr>
          <w:color w:val="8A8178"/>
          <w:sz w:val="15"/>
        </w:rPr>
        <w:t xml:space="preserve">[S03-p09-s01]</w:t>
      </w:r>
      <w:r>
        <w:t xml:space="preserve">; S07, s. 9 </w:t>
      </w:r>
      <w:r>
        <w:rPr>
          <w:color w:val="8A8178"/>
          <w:sz w:val="15"/>
        </w:rPr>
        <w:t xml:space="preserve">[S07-p09-s01]</w:t>
      </w:r>
      <w:r>
        <w:t xml:space="preserve">.</w:t>
      </w:r>
    </w:p>
  </w:footnote>
  <w:footnote w:id="164">
    <w:p>
      <w:pPr>
        <w:pStyle w:val="FootnoteText"/>
      </w:pPr>
      <w:r>
        <w:rPr>
          <w:rStyle w:val="FootnoteReference"/>
        </w:rPr>
        <w:footnoteRef/>
      </w:r>
      <w:r>
        <w:t xml:space="preserve"> S07, s. 8 </w:t>
      </w:r>
      <w:r>
        <w:rPr>
          <w:color w:val="8A8178"/>
          <w:sz w:val="15"/>
        </w:rPr>
        <w:t xml:space="preserve">[S07-p08-s01]</w:t>
      </w:r>
      <w:r>
        <w:t xml:space="preserve">. Objaśnienie „ojca Marii” — uwaga opracowującego.</w:t>
      </w:r>
    </w:p>
  </w:footnote>
  <w:footnote w:id="165">
    <w:p>
      <w:pPr>
        <w:pStyle w:val="FootnoteText"/>
      </w:pPr>
      <w:r>
        <w:rPr>
          <w:rStyle w:val="FootnoteReference"/>
        </w:rPr>
        <w:footnoteRef/>
      </w:r>
      <w:r>
        <w:t xml:space="preserve"> S03, s. 9 </w:t>
      </w:r>
      <w:r>
        <w:rPr>
          <w:color w:val="8A8178"/>
          <w:sz w:val="15"/>
        </w:rPr>
        <w:t xml:space="preserve">[S03-p09-s01]</w:t>
      </w:r>
      <w:r>
        <w:t xml:space="preserve">.</w:t>
      </w:r>
    </w:p>
  </w:footnote>
  <w:footnote w:id="166">
    <w:p>
      <w:pPr>
        <w:pStyle w:val="FootnoteText"/>
      </w:pPr>
      <w:r>
        <w:rPr>
          <w:rStyle w:val="FootnoteReference"/>
        </w:rPr>
        <w:footnoteRef/>
      </w:r>
      <w:r>
        <w:t xml:space="preserve"> S08, s. 75 </w:t>
      </w:r>
      <w:r>
        <w:rPr>
          <w:color w:val="8A8178"/>
          <w:sz w:val="15"/>
        </w:rPr>
        <w:t xml:space="preserve">[S08-p075-s01]</w:t>
      </w:r>
      <w:r>
        <w:t xml:space="preserve">.</w:t>
      </w:r>
    </w:p>
  </w:footnote>
  <w:footnote w:id="167">
    <w:p>
      <w:pPr>
        <w:pStyle w:val="FootnoteText"/>
      </w:pPr>
      <w:r>
        <w:rPr>
          <w:rStyle w:val="FootnoteReference"/>
        </w:rPr>
        <w:footnoteRef/>
      </w:r>
      <w:r>
        <w:t xml:space="preserve"> S07, s. 8 </w:t>
      </w:r>
      <w:r>
        <w:rPr>
          <w:color w:val="8A8178"/>
          <w:sz w:val="15"/>
        </w:rPr>
        <w:t xml:space="preserve">[S07-p08-s01]</w:t>
      </w:r>
      <w:r>
        <w:t xml:space="preserve">.</w:t>
      </w:r>
    </w:p>
  </w:footnote>
  <w:footnote w:id="168">
    <w:p>
      <w:pPr>
        <w:pStyle w:val="FootnoteText"/>
      </w:pPr>
      <w:r>
        <w:rPr>
          <w:rStyle w:val="FootnoteReference"/>
        </w:rPr>
        <w:footnoteRef/>
      </w:r>
      <w:r>
        <w:t xml:space="preserve"> S07, s. 8 </w:t>
      </w:r>
      <w:r>
        <w:rPr>
          <w:color w:val="8A8178"/>
          <w:sz w:val="15"/>
        </w:rPr>
        <w:t xml:space="preserve">[S07-p08-s01]</w:t>
      </w:r>
      <w:r>
        <w:t xml:space="preserve">; S03, s. 38 </w:t>
      </w:r>
      <w:r>
        <w:rPr>
          <w:color w:val="8A8178"/>
          <w:sz w:val="15"/>
        </w:rPr>
        <w:t xml:space="preserve">[S03-p38-s02]</w:t>
      </w:r>
      <w:r>
        <w:t xml:space="preserve">.</w:t>
      </w:r>
    </w:p>
  </w:footnote>
  <w:footnote w:id="169">
    <w:p>
      <w:pPr>
        <w:pStyle w:val="FootnoteText"/>
      </w:pPr>
      <w:r>
        <w:rPr>
          <w:rStyle w:val="FootnoteReference"/>
        </w:rPr>
        <w:footnoteRef/>
      </w:r>
      <w:r>
        <w:t xml:space="preserve"> S07, s. 8 i 13 </w:t>
      </w:r>
      <w:r>
        <w:rPr>
          <w:color w:val="8A8178"/>
          <w:sz w:val="15"/>
        </w:rPr>
        <w:t xml:space="preserve">[S07-p08-s01, S07-p13-s01]</w:t>
      </w:r>
      <w:r>
        <w:t xml:space="preserve">.</w:t>
      </w:r>
    </w:p>
  </w:footnote>
  <w:footnote w:id="170">
    <w:p>
      <w:pPr>
        <w:pStyle w:val="FootnoteText"/>
      </w:pPr>
      <w:r>
        <w:rPr>
          <w:rStyle w:val="FootnoteReference"/>
        </w:rPr>
        <w:footnoteRef/>
      </w:r>
      <w:r>
        <w:t xml:space="preserve"> S03, s. 9 </w:t>
      </w:r>
      <w:r>
        <w:rPr>
          <w:color w:val="8A8178"/>
          <w:sz w:val="15"/>
        </w:rPr>
        <w:t xml:space="preserve">[S03-p09-s02]</w:t>
      </w:r>
      <w:r>
        <w:t xml:space="preserve">; S07, s. 8–9 </w:t>
      </w:r>
      <w:r>
        <w:rPr>
          <w:color w:val="8A8178"/>
          <w:sz w:val="15"/>
        </w:rPr>
        <w:t xml:space="preserve">[S07-p08-s02, S07-p09-s01]</w:t>
      </w:r>
      <w:r>
        <w:t xml:space="preserve">.</w:t>
      </w:r>
    </w:p>
  </w:footnote>
  <w:footnote w:id="171">
    <w:p>
      <w:pPr>
        <w:pStyle w:val="FootnoteText"/>
      </w:pPr>
      <w:r>
        <w:rPr>
          <w:rStyle w:val="FootnoteReference"/>
        </w:rPr>
        <w:footnoteRef/>
      </w:r>
      <w:r>
        <w:t xml:space="preserve"> S07, s. 8 </w:t>
      </w:r>
      <w:r>
        <w:rPr>
          <w:color w:val="8A8178"/>
          <w:sz w:val="15"/>
        </w:rPr>
        <w:t xml:space="preserve">[S07-p08-s01]</w:t>
      </w:r>
      <w:r>
        <w:t xml:space="preserve">; S03, s. 6 i 9 </w:t>
      </w:r>
      <w:r>
        <w:rPr>
          <w:color w:val="8A8178"/>
          <w:sz w:val="15"/>
        </w:rPr>
        <w:t xml:space="preserve">[S03-p06-s02, S03-p09-s01]</w:t>
      </w:r>
      <w:r>
        <w:t xml:space="preserve">.</w:t>
      </w:r>
    </w:p>
  </w:footnote>
  <w:footnote w:id="172">
    <w:p>
      <w:pPr>
        <w:pStyle w:val="FootnoteText"/>
      </w:pPr>
      <w:r>
        <w:rPr>
          <w:rStyle w:val="FootnoteReference"/>
        </w:rPr>
        <w:footnoteRef/>
      </w:r>
      <w:r>
        <w:t xml:space="preserve"> S07, s. 9 </w:t>
      </w:r>
      <w:r>
        <w:rPr>
          <w:color w:val="8A8178"/>
          <w:sz w:val="15"/>
        </w:rPr>
        <w:t xml:space="preserve">[S07-p09-s01]</w:t>
      </w:r>
      <w:r>
        <w:t xml:space="preserve">.</w:t>
      </w:r>
    </w:p>
  </w:footnote>
  <w:footnote w:id="173">
    <w:p>
      <w:pPr>
        <w:pStyle w:val="FootnoteText"/>
      </w:pPr>
      <w:r>
        <w:rPr>
          <w:rStyle w:val="FootnoteReference"/>
        </w:rPr>
        <w:footnoteRef/>
      </w:r>
      <w:r>
        <w:t xml:space="preserve"> S05, s. 2 </w:t>
      </w:r>
      <w:r>
        <w:rPr>
          <w:color w:val="8A8178"/>
          <w:sz w:val="15"/>
        </w:rPr>
        <w:t xml:space="preserve">[S05-p02-s03, S05-p02-s04]</w:t>
      </w:r>
      <w:r>
        <w:t xml:space="preserve">.</w:t>
      </w:r>
    </w:p>
  </w:footnote>
  <w:footnote w:id="174">
    <w:p>
      <w:pPr>
        <w:pStyle w:val="FootnoteText"/>
      </w:pPr>
      <w:r>
        <w:rPr>
          <w:rStyle w:val="FootnoteReference"/>
        </w:rPr>
        <w:footnoteRef/>
      </w:r>
      <w:r>
        <w:t xml:space="preserve"> S07, s. 9 </w:t>
      </w:r>
      <w:r>
        <w:rPr>
          <w:color w:val="8A8178"/>
          <w:sz w:val="15"/>
        </w:rPr>
        <w:t xml:space="preserve">[S07-p09-s01]</w:t>
      </w:r>
      <w:r>
        <w:t xml:space="preserve">; S03, s. 9 i 48 </w:t>
      </w:r>
      <w:r>
        <w:rPr>
          <w:color w:val="8A8178"/>
          <w:sz w:val="15"/>
        </w:rPr>
        <w:t xml:space="preserve">[S03-p09-s02, S03-p48-s02]</w:t>
      </w:r>
      <w:r>
        <w:t xml:space="preserve">.</w:t>
      </w:r>
    </w:p>
  </w:footnote>
  <w:footnote w:id="175">
    <w:p>
      <w:pPr>
        <w:pStyle w:val="FootnoteText"/>
      </w:pPr>
      <w:r>
        <w:rPr>
          <w:rStyle w:val="FootnoteReference"/>
        </w:rPr>
        <w:footnoteRef/>
      </w:r>
      <w:r>
        <w:t xml:space="preserve"> S07, s. 54 </w:t>
      </w:r>
      <w:r>
        <w:rPr>
          <w:color w:val="8A8178"/>
          <w:sz w:val="15"/>
        </w:rPr>
        <w:t xml:space="preserve">[S07-p54-s02]</w:t>
      </w:r>
      <w:r>
        <w:t xml:space="preserve">; S03, s. 33 </w:t>
      </w:r>
      <w:r>
        <w:rPr>
          <w:color w:val="8A8178"/>
          <w:sz w:val="15"/>
        </w:rPr>
        <w:t xml:space="preserve">[S03-p33-s02]</w:t>
      </w:r>
      <w:r>
        <w:t xml:space="preserve">.</w:t>
      </w:r>
    </w:p>
  </w:footnote>
  <w:footnote w:id="176">
    <w:p>
      <w:pPr>
        <w:pStyle w:val="FootnoteText"/>
      </w:pPr>
      <w:r>
        <w:rPr>
          <w:rStyle w:val="FootnoteReference"/>
        </w:rPr>
        <w:footnoteRef/>
      </w:r>
      <w:r>
        <w:t xml:space="preserve"> S03, s. 6 </w:t>
      </w:r>
      <w:r>
        <w:rPr>
          <w:color w:val="8A8178"/>
          <w:sz w:val="15"/>
        </w:rPr>
        <w:t xml:space="preserve">[S03-p06-s02]</w:t>
      </w:r>
      <w:r>
        <w:t xml:space="preserve">; S04, s. 1 </w:t>
      </w:r>
      <w:r>
        <w:rPr>
          <w:color w:val="8A8178"/>
          <w:sz w:val="15"/>
        </w:rPr>
        <w:t xml:space="preserve">[S04-p01-s02]</w:t>
      </w:r>
      <w:r>
        <w:t xml:space="preserve">.</w:t>
      </w:r>
    </w:p>
  </w:footnote>
  <w:footnote w:id="177">
    <w:p>
      <w:pPr>
        <w:pStyle w:val="FootnoteText"/>
      </w:pPr>
      <w:r>
        <w:rPr>
          <w:rStyle w:val="FootnoteReference"/>
        </w:rPr>
        <w:footnoteRef/>
      </w:r>
      <w:r>
        <w:t xml:space="preserve"> S03, s. 8 </w:t>
      </w:r>
      <w:r>
        <w:rPr>
          <w:color w:val="8A8178"/>
          <w:sz w:val="15"/>
        </w:rPr>
        <w:t xml:space="preserve">[S03-p08-s02]</w:t>
      </w:r>
      <w:r>
        <w:t xml:space="preserve">; S07, s. 10 </w:t>
      </w:r>
      <w:r>
        <w:rPr>
          <w:color w:val="8A8178"/>
          <w:sz w:val="15"/>
        </w:rPr>
        <w:t xml:space="preserve">[S07-p10-s01]</w:t>
      </w:r>
      <w:r>
        <w:t xml:space="preserve">; S05, s. 2 </w:t>
      </w:r>
      <w:r>
        <w:rPr>
          <w:color w:val="8A8178"/>
          <w:sz w:val="15"/>
        </w:rPr>
        <w:t xml:space="preserve">[S05-p02-s03]</w:t>
      </w:r>
      <w:r>
        <w:t xml:space="preserve"> (pierwsza litera nazwiska niepewna).</w:t>
      </w:r>
    </w:p>
  </w:footnote>
  <w:footnote w:id="178">
    <w:p>
      <w:pPr>
        <w:pStyle w:val="FootnoteText"/>
      </w:pPr>
      <w:r>
        <w:rPr>
          <w:rStyle w:val="FootnoteReference"/>
        </w:rPr>
        <w:footnoteRef/>
      </w:r>
      <w:r>
        <w:t xml:space="preserve"> S07, s. 10 </w:t>
      </w:r>
      <w:r>
        <w:rPr>
          <w:color w:val="8A8178"/>
          <w:sz w:val="15"/>
        </w:rPr>
        <w:t xml:space="preserve">[S07-p10-s01]</w:t>
      </w:r>
      <w:r>
        <w:t xml:space="preserve">; S04, s. 1 </w:t>
      </w:r>
      <w:r>
        <w:rPr>
          <w:color w:val="8A8178"/>
          <w:sz w:val="15"/>
        </w:rPr>
        <w:t xml:space="preserve">[S04-p01-s03, S04-p01-s05]</w:t>
      </w:r>
      <w:r>
        <w:t xml:space="preserve">.</w:t>
      </w:r>
    </w:p>
  </w:footnote>
  <w:footnote w:id="179">
    <w:p>
      <w:pPr>
        <w:pStyle w:val="FootnoteText"/>
      </w:pPr>
      <w:r>
        <w:rPr>
          <w:rStyle w:val="FootnoteReference"/>
        </w:rPr>
        <w:footnoteRef/>
      </w:r>
      <w:r>
        <w:t xml:space="preserve"> S07, s. 10–12 </w:t>
      </w:r>
      <w:r>
        <w:rPr>
          <w:color w:val="8A8178"/>
          <w:sz w:val="15"/>
        </w:rPr>
        <w:t xml:space="preserve">[S07-p10-s01, S07-p11-s01, S07-p12-s01]</w:t>
      </w:r>
      <w:r>
        <w:t xml:space="preserve">; S04, s. 1 </w:t>
      </w:r>
      <w:r>
        <w:rPr>
          <w:color w:val="8A8178"/>
          <w:sz w:val="15"/>
        </w:rPr>
        <w:t xml:space="preserve">[S04-p01-s05]</w:t>
      </w:r>
      <w:r>
        <w:t xml:space="preserve">; S05, s. 2 </w:t>
      </w:r>
      <w:r>
        <w:rPr>
          <w:color w:val="8A8178"/>
          <w:sz w:val="15"/>
        </w:rPr>
        <w:t xml:space="preserve">[S05-p02-s02]</w:t>
      </w:r>
      <w:r>
        <w:t xml:space="preserve">.</w:t>
      </w:r>
    </w:p>
  </w:footnote>
  <w:footnote w:id="180">
    <w:p>
      <w:pPr>
        <w:pStyle w:val="FootnoteText"/>
      </w:pPr>
      <w:r>
        <w:rPr>
          <w:rStyle w:val="FootnoteReference"/>
        </w:rPr>
        <w:footnoteRef/>
      </w:r>
      <w:r>
        <w:t xml:space="preserve"> S07, s. 12 </w:t>
      </w:r>
      <w:r>
        <w:rPr>
          <w:color w:val="8A8178"/>
          <w:sz w:val="15"/>
        </w:rPr>
        <w:t xml:space="preserve">[S07-p12-s01]</w:t>
      </w:r>
      <w:r>
        <w:t xml:space="preserve">; S04, s. 1 </w:t>
      </w:r>
      <w:r>
        <w:rPr>
          <w:color w:val="8A8178"/>
          <w:sz w:val="15"/>
        </w:rPr>
        <w:t xml:space="preserve">[S04-p01-s03]</w:t>
      </w:r>
      <w:r>
        <w:t xml:space="preserve">.</w:t>
      </w:r>
    </w:p>
  </w:footnote>
  <w:footnote w:id="181">
    <w:p>
      <w:pPr>
        <w:pStyle w:val="FootnoteText"/>
      </w:pPr>
      <w:r>
        <w:rPr>
          <w:rStyle w:val="FootnoteReference"/>
        </w:rPr>
        <w:footnoteRef/>
      </w:r>
      <w:r>
        <w:t xml:space="preserve"> S07, s. 12–13 </w:t>
      </w:r>
      <w:r>
        <w:rPr>
          <w:color w:val="8A8178"/>
          <w:sz w:val="15"/>
        </w:rPr>
        <w:t xml:space="preserve">[S07-p12-s01, S07-p13-s01]</w:t>
      </w:r>
      <w:r>
        <w:t xml:space="preserve">; S08, s. 75–76 </w:t>
      </w:r>
      <w:r>
        <w:rPr>
          <w:color w:val="8A8178"/>
          <w:sz w:val="15"/>
        </w:rPr>
        <w:t xml:space="preserve">[S08-p075-s01, S08-p076-s02]</w:t>
      </w:r>
      <w:r>
        <w:t xml:space="preserve">.</w:t>
      </w:r>
    </w:p>
  </w:footnote>
  <w:footnote w:id="182">
    <w:p>
      <w:pPr>
        <w:pStyle w:val="FootnoteText"/>
      </w:pPr>
      <w:r>
        <w:rPr>
          <w:rStyle w:val="FootnoteReference"/>
        </w:rPr>
        <w:footnoteRef/>
      </w:r>
      <w:r>
        <w:t xml:space="preserve"> S07, s. 13 </w:t>
      </w:r>
      <w:r>
        <w:rPr>
          <w:color w:val="8A8178"/>
          <w:sz w:val="15"/>
        </w:rPr>
        <w:t xml:space="preserve">[S07-p13-s01]</w:t>
      </w:r>
      <w:r>
        <w:t xml:space="preserve">.</w:t>
      </w:r>
    </w:p>
  </w:footnote>
  <w:footnote w:id="183">
    <w:p>
      <w:pPr>
        <w:pStyle w:val="FootnoteText"/>
      </w:pPr>
      <w:r>
        <w:rPr>
          <w:rStyle w:val="FootnoteReference"/>
        </w:rPr>
        <w:footnoteRef/>
      </w:r>
      <w:r>
        <w:t xml:space="preserve"> S04, s. 1 </w:t>
      </w:r>
      <w:r>
        <w:rPr>
          <w:color w:val="8A8178"/>
          <w:sz w:val="15"/>
        </w:rPr>
        <w:t xml:space="preserve">[S04-p01-s04]</w:t>
      </w:r>
      <w:r>
        <w:t xml:space="preserve">; S07, s. 60 </w:t>
      </w:r>
      <w:r>
        <w:rPr>
          <w:color w:val="8A8178"/>
          <w:sz w:val="15"/>
        </w:rPr>
        <w:t xml:space="preserve">[S07-p60-s01]</w:t>
      </w:r>
      <w:r>
        <w:t xml:space="preserve">; S08, s. 76 </w:t>
      </w:r>
      <w:r>
        <w:rPr>
          <w:color w:val="8A8178"/>
          <w:sz w:val="15"/>
        </w:rPr>
        <w:t xml:space="preserve">[S08-p076-s02]</w:t>
      </w:r>
      <w:r>
        <w:t xml:space="preserve">.</w:t>
      </w:r>
    </w:p>
  </w:footnote>
  <w:footnote w:id="184">
    <w:p>
      <w:pPr>
        <w:pStyle w:val="FootnoteText"/>
      </w:pPr>
      <w:r>
        <w:rPr>
          <w:rStyle w:val="FootnoteReference"/>
        </w:rPr>
        <w:footnoteRef/>
      </w:r>
      <w:r>
        <w:t xml:space="preserve"> S08, s. 76–77 </w:t>
      </w:r>
      <w:r>
        <w:rPr>
          <w:color w:val="8A8178"/>
          <w:sz w:val="15"/>
        </w:rPr>
        <w:t xml:space="preserve">[S08-p076-s02, S08-p077-s01]</w:t>
      </w:r>
      <w:r>
        <w:t xml:space="preserve">.</w:t>
      </w:r>
    </w:p>
  </w:footnote>
  <w:footnote w:id="185">
    <w:p>
      <w:pPr>
        <w:pStyle w:val="FootnoteText"/>
      </w:pPr>
      <w:r>
        <w:rPr>
          <w:rStyle w:val="FootnoteReference"/>
        </w:rPr>
        <w:footnoteRef/>
      </w:r>
      <w:r>
        <w:t xml:space="preserve"> S07, s. 13 </w:t>
      </w:r>
      <w:r>
        <w:rPr>
          <w:color w:val="8A8178"/>
          <w:sz w:val="15"/>
        </w:rPr>
        <w:t xml:space="preserve">[S07-p13-s01]</w:t>
      </w:r>
      <w:r>
        <w:t xml:space="preserve">.</w:t>
      </w:r>
    </w:p>
  </w:footnote>
  <w:footnote w:id="186">
    <w:p>
      <w:pPr>
        <w:pStyle w:val="FootnoteText"/>
      </w:pPr>
      <w:r>
        <w:rPr>
          <w:rStyle w:val="FootnoteReference"/>
        </w:rPr>
        <w:footnoteRef/>
      </w:r>
      <w:r>
        <w:t xml:space="preserve"> S03, s. 8 i 46 </w:t>
      </w:r>
      <w:r>
        <w:rPr>
          <w:color w:val="8A8178"/>
          <w:sz w:val="15"/>
        </w:rPr>
        <w:t xml:space="preserve">[S03-p08-s02, S03-p08-s03, S03-p46-s02]</w:t>
      </w:r>
      <w:r>
        <w:t xml:space="preserve">; S07, s. 13–14 </w:t>
      </w:r>
      <w:r>
        <w:rPr>
          <w:color w:val="8A8178"/>
          <w:sz w:val="15"/>
        </w:rPr>
        <w:t xml:space="preserve">[S07-p13-s02, S07-p14-s01]</w:t>
      </w:r>
      <w:r>
        <w:t xml:space="preserve">.</w:t>
      </w:r>
    </w:p>
  </w:footnote>
  <w:footnote w:id="187">
    <w:p>
      <w:pPr>
        <w:pStyle w:val="FootnoteText"/>
      </w:pPr>
      <w:r>
        <w:rPr>
          <w:rStyle w:val="FootnoteReference"/>
        </w:rPr>
        <w:footnoteRef/>
      </w:r>
      <w:r>
        <w:t xml:space="preserve"> S03, s. 8 </w:t>
      </w:r>
      <w:r>
        <w:rPr>
          <w:color w:val="8A8178"/>
          <w:sz w:val="15"/>
        </w:rPr>
        <w:t xml:space="preserve">[S03-p08-s03]</w:t>
      </w:r>
      <w:r>
        <w:t xml:space="preserve">; S07, s. 14 i 42–43 </w:t>
      </w:r>
      <w:r>
        <w:rPr>
          <w:color w:val="8A8178"/>
          <w:sz w:val="15"/>
        </w:rPr>
        <w:t xml:space="preserve">[S07-p14-s01, S07-p42-s02, S07-p43-s01]</w:t>
      </w:r>
      <w:r>
        <w:t xml:space="preserve">.</w:t>
      </w:r>
    </w:p>
  </w:footnote>
  <w:footnote w:id="188">
    <w:p>
      <w:pPr>
        <w:pStyle w:val="FootnoteText"/>
      </w:pPr>
      <w:r>
        <w:rPr>
          <w:rStyle w:val="FootnoteReference"/>
        </w:rPr>
        <w:footnoteRef/>
      </w:r>
      <w:r>
        <w:t xml:space="preserve"> S07, s. 14 </w:t>
      </w:r>
      <w:r>
        <w:rPr>
          <w:color w:val="8A8178"/>
          <w:sz w:val="15"/>
        </w:rPr>
        <w:t xml:space="preserve">[S07-p14-s01]</w:t>
      </w:r>
      <w:r>
        <w:t xml:space="preserve">; S03, s. 12 i 45 </w:t>
      </w:r>
      <w:r>
        <w:rPr>
          <w:color w:val="8A8178"/>
          <w:sz w:val="15"/>
        </w:rPr>
        <w:t xml:space="preserve">[S03-p12-s02, S03-p12-s03, S03-p45-s02]</w:t>
      </w:r>
      <w:r>
        <w:t xml:space="preserve">.</w:t>
      </w:r>
    </w:p>
  </w:footnote>
  <w:footnote w:id="189">
    <w:p>
      <w:pPr>
        <w:pStyle w:val="FootnoteText"/>
      </w:pPr>
      <w:r>
        <w:rPr>
          <w:rStyle w:val="FootnoteReference"/>
        </w:rPr>
        <w:footnoteRef/>
      </w:r>
      <w:r>
        <w:t xml:space="preserve"> S03, s. 42 </w:t>
      </w:r>
      <w:r>
        <w:rPr>
          <w:color w:val="8A8178"/>
          <w:sz w:val="15"/>
        </w:rPr>
        <w:t xml:space="preserve">[S03-p42-s02]</w:t>
      </w:r>
      <w:r>
        <w:t xml:space="preserve">; S07, s. 14–15 </w:t>
      </w:r>
      <w:r>
        <w:rPr>
          <w:color w:val="8A8178"/>
          <w:sz w:val="15"/>
        </w:rPr>
        <w:t xml:space="preserve">[S07-p14-s01, S07-p15-s01]</w:t>
      </w:r>
      <w:r>
        <w:t xml:space="preserve">; S04, s. 1 </w:t>
      </w:r>
      <w:r>
        <w:rPr>
          <w:color w:val="8A8178"/>
          <w:sz w:val="15"/>
        </w:rPr>
        <w:t xml:space="preserve">[S04-p01-s06]</w:t>
      </w:r>
      <w:r>
        <w:t xml:space="preserve">; S08, s. 73 </w:t>
      </w:r>
      <w:r>
        <w:rPr>
          <w:color w:val="8A8178"/>
          <w:sz w:val="15"/>
        </w:rPr>
        <w:t xml:space="preserve">[S08-p073-s01]</w:t>
      </w:r>
      <w:r>
        <w:t xml:space="preserve">.</w:t>
      </w:r>
    </w:p>
  </w:footnote>
  <w:footnote w:id="190">
    <w:p>
      <w:pPr>
        <w:pStyle w:val="FootnoteText"/>
      </w:pPr>
      <w:r>
        <w:rPr>
          <w:rStyle w:val="FootnoteReference"/>
        </w:rPr>
        <w:footnoteRef/>
      </w:r>
      <w:r>
        <w:t xml:space="preserve"> S04, s. 2 </w:t>
      </w:r>
      <w:r>
        <w:rPr>
          <w:color w:val="8A8178"/>
          <w:sz w:val="15"/>
        </w:rPr>
        <w:t xml:space="preserve">[S04-p02-s01]</w:t>
      </w:r>
      <w:r>
        <w:t xml:space="preserve">.</w:t>
      </w:r>
    </w:p>
  </w:footnote>
  <w:footnote w:id="191">
    <w:p>
      <w:pPr>
        <w:pStyle w:val="FootnoteText"/>
      </w:pPr>
      <w:r>
        <w:rPr>
          <w:rStyle w:val="FootnoteReference"/>
        </w:rPr>
        <w:footnoteRef/>
      </w:r>
      <w:r>
        <w:t xml:space="preserve"> S03, s. 2 i 46 </w:t>
      </w:r>
      <w:r>
        <w:rPr>
          <w:color w:val="8A8178"/>
          <w:sz w:val="15"/>
        </w:rPr>
        <w:t xml:space="preserve">[S03-p02-s03, S03-p46-s02]</w:t>
      </w:r>
      <w:r>
        <w:t xml:space="preserve">; S07, s. 15 </w:t>
      </w:r>
      <w:r>
        <w:rPr>
          <w:color w:val="8A8178"/>
          <w:sz w:val="15"/>
        </w:rPr>
        <w:t xml:space="preserve">[S07-p15-s01]</w:t>
      </w:r>
      <w:r>
        <w:t xml:space="preserve">.</w:t>
      </w:r>
    </w:p>
  </w:footnote>
  <w:footnote w:id="192">
    <w:p>
      <w:pPr>
        <w:pStyle w:val="FootnoteText"/>
      </w:pPr>
      <w:r>
        <w:rPr>
          <w:rStyle w:val="FootnoteReference"/>
        </w:rPr>
        <w:footnoteRef/>
      </w:r>
      <w:r>
        <w:t xml:space="preserve"> S07, s. 15 </w:t>
      </w:r>
      <w:r>
        <w:rPr>
          <w:color w:val="8A8178"/>
          <w:sz w:val="15"/>
        </w:rPr>
        <w:t xml:space="preserve">[S07-p15-s01]</w:t>
      </w:r>
      <w:r>
        <w:t xml:space="preserve">; S03, s. 52 </w:t>
      </w:r>
      <w:r>
        <w:rPr>
          <w:color w:val="8A8178"/>
          <w:sz w:val="15"/>
        </w:rPr>
        <w:t xml:space="preserve">[S03-p52-s02]</w:t>
      </w:r>
      <w:r>
        <w:t xml:space="preserve">.</w:t>
      </w:r>
    </w:p>
  </w:footnote>
  <w:footnote w:id="193">
    <w:p>
      <w:pPr>
        <w:pStyle w:val="FootnoteText"/>
      </w:pPr>
      <w:r>
        <w:rPr>
          <w:rStyle w:val="FootnoteReference"/>
        </w:rPr>
        <w:footnoteRef/>
      </w:r>
      <w:r>
        <w:t xml:space="preserve"> S08, s. 73 i 77–78 </w:t>
      </w:r>
      <w:r>
        <w:rPr>
          <w:color w:val="8A8178"/>
          <w:sz w:val="15"/>
        </w:rPr>
        <w:t xml:space="preserve">[S08-p073-s01, S08-p077-s03, S08-p078-s01]</w:t>
      </w:r>
      <w:r>
        <w:t xml:space="preserve">.</w:t>
      </w:r>
    </w:p>
  </w:footnote>
  <w:footnote w:id="194">
    <w:p>
      <w:pPr>
        <w:pStyle w:val="FootnoteText"/>
      </w:pPr>
      <w:r>
        <w:rPr>
          <w:rStyle w:val="FootnoteReference"/>
        </w:rPr>
        <w:footnoteRef/>
      </w:r>
      <w:r>
        <w:t xml:space="preserve"> S05, s. 2 </w:t>
      </w:r>
      <w:r>
        <w:rPr>
          <w:color w:val="8A8178"/>
          <w:sz w:val="15"/>
        </w:rPr>
        <w:t xml:space="preserve">[S05-p02-s01]</w:t>
      </w:r>
      <w:r>
        <w:t xml:space="preserve">; S04, s. 2 </w:t>
      </w:r>
      <w:r>
        <w:rPr>
          <w:color w:val="8A8178"/>
          <w:sz w:val="15"/>
        </w:rPr>
        <w:t xml:space="preserve">[S04-p02-s02]</w:t>
      </w:r>
      <w:r>
        <w:t xml:space="preserve">; S08, s. 73 </w:t>
      </w:r>
      <w:r>
        <w:rPr>
          <w:color w:val="8A8178"/>
          <w:sz w:val="15"/>
        </w:rPr>
        <w:t xml:space="preserve">[S08-p073-s01]</w:t>
      </w:r>
      <w:r>
        <w:t xml:space="preserve">.</w:t>
      </w:r>
    </w:p>
  </w:footnote>
  <w:footnote w:id="195">
    <w:p>
      <w:pPr>
        <w:pStyle w:val="FootnoteText"/>
      </w:pPr>
      <w:r>
        <w:rPr>
          <w:rStyle w:val="FootnoteReference"/>
        </w:rPr>
        <w:footnoteRef/>
      </w:r>
      <w:r>
        <w:t xml:space="preserve"> S08, s. 71 i 77 </w:t>
      </w:r>
      <w:r>
        <w:rPr>
          <w:color w:val="8A8178"/>
          <w:sz w:val="15"/>
        </w:rPr>
        <w:t xml:space="preserve">[S08-p071-s03, S08-p077-s01]</w:t>
      </w:r>
      <w:r>
        <w:t xml:space="preserve">.</w:t>
      </w:r>
    </w:p>
  </w:footnote>
  <w:footnote w:id="196">
    <w:p>
      <w:pPr>
        <w:pStyle w:val="FootnoteText"/>
      </w:pPr>
      <w:r>
        <w:rPr>
          <w:rStyle w:val="FootnoteReference"/>
        </w:rPr>
        <w:footnoteRef/>
      </w:r>
      <w:r>
        <w:t xml:space="preserve"> S07, s. 13 </w:t>
      </w:r>
      <w:r>
        <w:rPr>
          <w:color w:val="8A8178"/>
          <w:sz w:val="15"/>
        </w:rPr>
        <w:t xml:space="preserve">[S07-p13-s01]</w:t>
      </w:r>
      <w:r>
        <w:t xml:space="preserve">; S08, s. 77 </w:t>
      </w:r>
      <w:r>
        <w:rPr>
          <w:color w:val="8A8178"/>
          <w:sz w:val="15"/>
        </w:rPr>
        <w:t xml:space="preserve">[S08-p077-s02]</w:t>
      </w:r>
      <w:r>
        <w:t xml:space="preserve">.</w:t>
      </w:r>
    </w:p>
  </w:footnote>
  <w:footnote w:id="197">
    <w:p>
      <w:pPr>
        <w:pStyle w:val="FootnoteText"/>
      </w:pPr>
      <w:r>
        <w:rPr>
          <w:rStyle w:val="FootnoteReference"/>
        </w:rPr>
        <w:footnoteRef/>
      </w:r>
      <w:r>
        <w:t xml:space="preserve"> S04, s. 2 </w:t>
      </w:r>
      <w:r>
        <w:rPr>
          <w:color w:val="8A8178"/>
          <w:sz w:val="15"/>
        </w:rPr>
        <w:t xml:space="preserve">[S04-p02-s01]</w:t>
      </w:r>
      <w:r>
        <w:t xml:space="preserve">.</w:t>
      </w:r>
    </w:p>
  </w:footnote>
  <w:footnote w:id="198">
    <w:p>
      <w:pPr>
        <w:pStyle w:val="FootnoteText"/>
      </w:pPr>
      <w:r>
        <w:rPr>
          <w:rStyle w:val="FootnoteReference"/>
        </w:rPr>
        <w:footnoteRef/>
      </w:r>
      <w:r>
        <w:t xml:space="preserve"> S07, s. 60 </w:t>
      </w:r>
      <w:r>
        <w:rPr>
          <w:color w:val="8A8178"/>
          <w:sz w:val="15"/>
        </w:rPr>
        <w:t xml:space="preserve">[S07-p60-s02]</w:t>
      </w:r>
      <w:r>
        <w:t xml:space="preserve">.</w:t>
      </w:r>
    </w:p>
  </w:footnote>
  <w:footnote w:id="199">
    <w:p>
      <w:pPr>
        <w:pStyle w:val="FootnoteText"/>
      </w:pPr>
      <w:r>
        <w:rPr>
          <w:rStyle w:val="FootnoteReference"/>
        </w:rPr>
        <w:footnoteRef/>
      </w:r>
      <w:r>
        <w:t xml:space="preserve"> S07, s. 19 i 60 </w:t>
      </w:r>
      <w:r>
        <w:rPr>
          <w:color w:val="8A8178"/>
          <w:sz w:val="15"/>
        </w:rPr>
        <w:t xml:space="preserve">[S07-p19-s01, S07-p60-s03]</w:t>
      </w:r>
      <w:r>
        <w:t xml:space="preserve">; S03, s. 38 </w:t>
      </w:r>
      <w:r>
        <w:rPr>
          <w:color w:val="8A8178"/>
          <w:sz w:val="15"/>
        </w:rPr>
        <w:t xml:space="preserve">[S03-p38-s02]</w:t>
      </w:r>
      <w:r>
        <w:t xml:space="preserve">.</w:t>
      </w:r>
    </w:p>
  </w:footnote>
  <w:footnote w:id="200">
    <w:p>
      <w:pPr>
        <w:pStyle w:val="FootnoteText"/>
      </w:pPr>
      <w:r>
        <w:rPr>
          <w:rStyle w:val="FootnoteReference"/>
        </w:rPr>
        <w:footnoteRef/>
      </w:r>
      <w:r>
        <w:t xml:space="preserve"> S07, s. 10 </w:t>
      </w:r>
      <w:r>
        <w:rPr>
          <w:color w:val="8A8178"/>
          <w:sz w:val="15"/>
        </w:rPr>
        <w:t xml:space="preserve">[S07-p10-s01]</w:t>
      </w:r>
      <w:r>
        <w:t xml:space="preserve">; S03, s. 52 </w:t>
      </w:r>
      <w:r>
        <w:rPr>
          <w:color w:val="8A8178"/>
          <w:sz w:val="15"/>
        </w:rPr>
        <w:t xml:space="preserve">[S03-p52-s02]</w:t>
      </w:r>
      <w:r>
        <w:t xml:space="preserve">; S07, s. 54 </w:t>
      </w:r>
      <w:r>
        <w:rPr>
          <w:color w:val="8A8178"/>
          <w:sz w:val="15"/>
        </w:rPr>
        <w:t xml:space="preserve">[S07-p54-s02]</w:t>
      </w:r>
      <w:r>
        <w:t xml:space="preserve">.</w:t>
      </w:r>
    </w:p>
  </w:footnote>
  <w:footnote w:id="201">
    <w:p>
      <w:pPr>
        <w:pStyle w:val="FootnoteText"/>
      </w:pPr>
      <w:r>
        <w:rPr>
          <w:rStyle w:val="FootnoteReference"/>
        </w:rPr>
        <w:footnoteRef/>
      </w:r>
      <w:r>
        <w:t xml:space="preserve"> S08, s. 64, przypisy 25–26; s. 73, przypis 13 </w:t>
      </w:r>
      <w:r>
        <w:rPr>
          <w:color w:val="8A8178"/>
          <w:sz w:val="15"/>
        </w:rPr>
        <w:t xml:space="preserve">[S08-p064-f25, S08-p064-f26, S08-p073-f13]</w:t>
      </w:r>
      <w:r>
        <w:t xml:space="preserve">.</w:t>
      </w:r>
    </w:p>
  </w:footnote>
  <w:footnote w:id="202">
    <w:p>
      <w:pPr>
        <w:pStyle w:val="FootnoteText"/>
      </w:pPr>
      <w:r>
        <w:rPr>
          <w:rStyle w:val="FootnoteReference"/>
        </w:rPr>
        <w:footnoteRef/>
      </w:r>
      <w:r>
        <w:t xml:space="preserve"> S07, s. 9, 42, 48 </w:t>
      </w:r>
      <w:r>
        <w:rPr>
          <w:color w:val="8A8178"/>
          <w:sz w:val="15"/>
        </w:rPr>
        <w:t xml:space="preserve">[S07-p09-s01, S07-p42-s02, S07-p48-s01]</w:t>
      </w:r>
      <w:r>
        <w:t xml:space="preserve">.</w:t>
      </w:r>
    </w:p>
  </w:footnote>
  <w:footnote w:id="203">
    <w:p>
      <w:pPr>
        <w:pStyle w:val="FootnoteText"/>
      </w:pPr>
      <w:r>
        <w:rPr>
          <w:rStyle w:val="FootnoteReference"/>
        </w:rPr>
        <w:footnoteRef/>
      </w:r>
      <w:r>
        <w:t xml:space="preserve"> S03, s. 49, dopisek </w:t>
      </w:r>
      <w:r>
        <w:rPr>
          <w:color w:val="8A8178"/>
          <w:sz w:val="15"/>
        </w:rPr>
        <w:t xml:space="preserve">[S03-p49-d1]</w:t>
      </w:r>
      <w:r>
        <w:t xml:space="preserve">; S03, s. 33 </w:t>
      </w:r>
      <w:r>
        <w:rPr>
          <w:color w:val="8A8178"/>
          <w:sz w:val="15"/>
        </w:rPr>
        <w:t xml:space="preserve">[S03-p33-d1]</w:t>
      </w:r>
      <w:r>
        <w:t xml:space="preserve">.</w:t>
      </w:r>
    </w:p>
  </w:footnote>
  <w:footnote w:id="204">
    <w:p>
      <w:pPr>
        <w:pStyle w:val="FootnoteText"/>
      </w:pPr>
      <w:r>
        <w:rPr>
          <w:rStyle w:val="FootnoteReference"/>
        </w:rPr>
        <w:footnoteRef/>
      </w:r>
      <w:r>
        <w:t xml:space="preserve"> S03, s. 2–4, 12, 40, 43–54 </w:t>
      </w:r>
      <w:r>
        <w:rPr>
          <w:color w:val="8A8178"/>
          <w:sz w:val="15"/>
        </w:rPr>
        <w:t xml:space="preserve">[S03-p02-s03, S03-p03-s02, S03-p04-s02, S03-p12-s02, S03-p12-s03, S03-p40-s02, S03-p45-s02, S03-p46-s02, S03-p47-s02, S03-p50-s02, S03-p54-d2]</w:t>
      </w:r>
      <w:r>
        <w:t xml:space="preserve">; S04, s. 2 </w:t>
      </w:r>
      <w:r>
        <w:rPr>
          <w:color w:val="8A8178"/>
          <w:sz w:val="15"/>
        </w:rPr>
        <w:t xml:space="preserve">[S04-p02-s04, S04-p02-s05, S04-p02-s06]</w:t>
      </w:r>
      <w:r>
        <w:t xml:space="preserve">; S07, s. 1 i 28 </w:t>
      </w:r>
      <w:r>
        <w:rPr>
          <w:color w:val="8A8178"/>
          <w:sz w:val="15"/>
        </w:rPr>
        <w:t xml:space="preserve">[S07-p01-s04, S07-p28-d1]</w:t>
      </w:r>
      <w:r>
        <w:t xml:space="preserve">; S03, s. 1 </w:t>
      </w:r>
      <w:r>
        <w:rPr>
          <w:color w:val="8A8178"/>
          <w:sz w:val="15"/>
        </w:rPr>
        <w:t xml:space="preserve">[S03-p01-s01, S03-p01-s04]</w:t>
      </w:r>
      <w:r>
        <w:t xml:space="preserve">; S07, s. 7 </w:t>
      </w:r>
      <w:r>
        <w:rPr>
          <w:color w:val="8A8178"/>
          <w:sz w:val="15"/>
        </w:rPr>
        <w:t xml:space="preserve">[S07-p07-s01]</w:t>
      </w:r>
      <w:r>
        <w:t xml:space="preserve">.</w:t>
      </w:r>
    </w:p>
  </w:footnote>
  <w:footnote w:id="205">
    <w:p>
      <w:pPr>
        <w:pStyle w:val="FootnoteText"/>
      </w:pPr>
      <w:r>
        <w:rPr>
          <w:rStyle w:val="FootnoteReference"/>
        </w:rPr>
        <w:footnoteRef/>
      </w:r>
      <w:r>
        <w:t xml:space="preserve"> S03, s. 43–54 </w:t>
      </w:r>
      <w:r>
        <w:rPr>
          <w:color w:val="8A8178"/>
          <w:sz w:val="15"/>
        </w:rPr>
        <w:t xml:space="preserve">[S03-p43-s02, S03-p44-s02, S03-p48-s02, S03-p51-s02, S03-p52-s02, S03-p53-s02]</w:t>
      </w:r>
      <w:r>
        <w:t xml:space="preserve">.</w:t>
      </w:r>
    </w:p>
  </w:footnote>
  <w:footnote w:id="206">
    <w:p>
      <w:pPr>
        <w:pStyle w:val="FootnoteText"/>
      </w:pPr>
      <w:r>
        <w:rPr>
          <w:rStyle w:val="FootnoteReference"/>
        </w:rPr>
        <w:footnoteRef/>
      </w:r>
      <w:r>
        <w:t xml:space="preserve"> S07, s. 17 i 53 </w:t>
      </w:r>
      <w:r>
        <w:rPr>
          <w:color w:val="8A8178"/>
          <w:sz w:val="15"/>
        </w:rPr>
        <w:t xml:space="preserve">[S07-p17-s02, S07-p53-s01]</w:t>
      </w:r>
      <w:r>
        <w:t xml:space="preserve">.</w:t>
      </w:r>
    </w:p>
  </w:footnote>
  <w:footnote w:id="207">
    <w:p>
      <w:pPr>
        <w:pStyle w:val="FootnoteText"/>
      </w:pPr>
      <w:r>
        <w:rPr>
          <w:rStyle w:val="FootnoteReference"/>
        </w:rPr>
        <w:footnoteRef/>
      </w:r>
      <w:r>
        <w:t xml:space="preserve"> S07, s. 21 </w:t>
      </w:r>
      <w:r>
        <w:rPr>
          <w:color w:val="8A8178"/>
          <w:sz w:val="15"/>
        </w:rPr>
        <w:t xml:space="preserve">[S07-p21-s01, S07-p21-s02]</w:t>
      </w:r>
      <w:r>
        <w:t xml:space="preserve">; S03, s. 7 i 10 </w:t>
      </w:r>
      <w:r>
        <w:rPr>
          <w:color w:val="8A8178"/>
          <w:sz w:val="15"/>
        </w:rPr>
        <w:t xml:space="preserve">[S03-p07-s03, S03-p10-s03]</w:t>
      </w:r>
      <w:r>
        <w:t xml:space="preserve">.</w:t>
      </w:r>
    </w:p>
  </w:footnote>
  <w:footnote w:id="208">
    <w:p>
      <w:pPr>
        <w:pStyle w:val="FootnoteText"/>
      </w:pPr>
      <w:r>
        <w:rPr>
          <w:rStyle w:val="FootnoteReference"/>
        </w:rPr>
        <w:footnoteRef/>
      </w:r>
      <w:r>
        <w:t xml:space="preserve"> S07, s. 17–18 i 21 </w:t>
      </w:r>
      <w:r>
        <w:rPr>
          <w:color w:val="8A8178"/>
          <w:sz w:val="15"/>
        </w:rPr>
        <w:t xml:space="preserve">[S07-p17-s03, S07-p17-s04, S07-p18-s01, S07-p18-s02, S07-p21-s03]</w:t>
      </w:r>
      <w:r>
        <w:t xml:space="preserve">; S07, s. 9 </w:t>
      </w:r>
      <w:r>
        <w:rPr>
          <w:color w:val="8A8178"/>
          <w:sz w:val="15"/>
        </w:rPr>
        <w:t xml:space="preserve">[S07-p09-s01]</w:t>
      </w:r>
      <w:r>
        <w:t xml:space="preserve">; S03, s. 9 </w:t>
      </w:r>
      <w:r>
        <w:rPr>
          <w:color w:val="8A8178"/>
          <w:sz w:val="15"/>
        </w:rPr>
        <w:t xml:space="preserve">[S03-p09-s06]</w:t>
      </w:r>
      <w:r>
        <w:t xml:space="preserve">; S07, s. 58 </w:t>
      </w:r>
      <w:r>
        <w:rPr>
          <w:color w:val="8A8178"/>
          <w:sz w:val="15"/>
        </w:rPr>
        <w:t xml:space="preserve">[S07-p58-s01]</w:t>
      </w:r>
      <w:r>
        <w:t xml:space="preserve">.</w:t>
      </w:r>
    </w:p>
  </w:footnote>
  <w:footnote w:id="209">
    <w:p>
      <w:pPr>
        <w:pStyle w:val="FootnoteText"/>
      </w:pPr>
      <w:r>
        <w:rPr>
          <w:rStyle w:val="FootnoteReference"/>
        </w:rPr>
        <w:footnoteRef/>
      </w:r>
      <w:r>
        <w:t xml:space="preserve"> S07, s. 18–21 </w:t>
      </w:r>
      <w:r>
        <w:rPr>
          <w:color w:val="8A8178"/>
          <w:sz w:val="15"/>
        </w:rPr>
        <w:t xml:space="preserve">[S07-p18-s03, S07-p19-s01, S07-p19-s02, S07-p20-s01, S07-p21-s04, S07-p21-s05, S07-p21-s06, S07-p21-s07]</w:t>
      </w:r>
      <w:r>
        <w:t xml:space="preserve">.</w:t>
      </w:r>
    </w:p>
  </w:footnote>
  <w:footnote w:id="210">
    <w:p>
      <w:pPr>
        <w:pStyle w:val="FootnoteText"/>
      </w:pPr>
      <w:r>
        <w:rPr>
          <w:rStyle w:val="FootnoteReference"/>
        </w:rPr>
        <w:footnoteRef/>
      </w:r>
      <w:r>
        <w:t xml:space="preserve"> S07, s. 20 i 58 </w:t>
      </w:r>
      <w:r>
        <w:rPr>
          <w:color w:val="8A8178"/>
          <w:sz w:val="15"/>
        </w:rPr>
        <w:t xml:space="preserve">[S07-p20-s01, S07-p58-s03]</w:t>
      </w:r>
      <w:r>
        <w:t xml:space="preserve">; S03, s. 29 </w:t>
      </w:r>
      <w:r>
        <w:rPr>
          <w:color w:val="8A8178"/>
          <w:sz w:val="15"/>
        </w:rPr>
        <w:t xml:space="preserve">[S03-p29-s03]</w:t>
      </w:r>
      <w:r>
        <w:t xml:space="preserve">.</w:t>
      </w:r>
    </w:p>
  </w:footnote>
  <w:footnote w:id="211">
    <w:p>
      <w:pPr>
        <w:pStyle w:val="FootnoteText"/>
      </w:pPr>
      <w:r>
        <w:rPr>
          <w:rStyle w:val="FootnoteReference"/>
        </w:rPr>
        <w:footnoteRef/>
      </w:r>
      <w:r>
        <w:t xml:space="preserve"> S07, s. 28–29 i 52 </w:t>
      </w:r>
      <w:r>
        <w:rPr>
          <w:color w:val="8A8178"/>
          <w:sz w:val="15"/>
        </w:rPr>
        <w:t xml:space="preserve">[S07-p28-s02, S07-p29-s02, S07-p29-s03, S07-p52-s01, S07-p52-s02]</w:t>
      </w:r>
      <w:r>
        <w:t xml:space="preserve">; S03, s. 7 i 11 </w:t>
      </w:r>
      <w:r>
        <w:rPr>
          <w:color w:val="8A8178"/>
          <w:sz w:val="15"/>
        </w:rPr>
        <w:t xml:space="preserve">[S03-p07-s04, S03-p11-s03]</w:t>
      </w:r>
      <w:r>
        <w:t xml:space="preserve">.</w:t>
      </w:r>
    </w:p>
  </w:footnote>
  <w:footnote w:id="212">
    <w:p>
      <w:pPr>
        <w:pStyle w:val="FootnoteText"/>
      </w:pPr>
      <w:r>
        <w:rPr>
          <w:rStyle w:val="FootnoteReference"/>
        </w:rPr>
        <w:footnoteRef/>
      </w:r>
      <w:r>
        <w:t xml:space="preserve"> S07, s. 30–31 </w:t>
      </w:r>
      <w:r>
        <w:rPr>
          <w:color w:val="8A8178"/>
          <w:sz w:val="15"/>
        </w:rPr>
        <w:t xml:space="preserve">[S07-p30-s01, S07-p31-s01, S07-p31-s02]</w:t>
      </w:r>
      <w:r>
        <w:t xml:space="preserve">; S07, s. 56 </w:t>
      </w:r>
      <w:r>
        <w:rPr>
          <w:color w:val="8A8178"/>
          <w:sz w:val="15"/>
        </w:rPr>
        <w:t xml:space="preserve">[S07-p56-s01]</w:t>
      </w:r>
      <w:r>
        <w:t xml:space="preserve">; S03, s. 36 </w:t>
      </w:r>
      <w:r>
        <w:rPr>
          <w:color w:val="8A8178"/>
          <w:sz w:val="15"/>
        </w:rPr>
        <w:t xml:space="preserve">[S03-p36-s02]</w:t>
      </w:r>
      <w:r>
        <w:t xml:space="preserve">.</w:t>
      </w:r>
    </w:p>
  </w:footnote>
  <w:footnote w:id="213">
    <w:p>
      <w:pPr>
        <w:pStyle w:val="FootnoteText"/>
      </w:pPr>
      <w:r>
        <w:rPr>
          <w:rStyle w:val="FootnoteReference"/>
        </w:rPr>
        <w:footnoteRef/>
      </w:r>
      <w:r>
        <w:t xml:space="preserve"> S07, s. 29 i 41 </w:t>
      </w:r>
      <w:r>
        <w:rPr>
          <w:color w:val="8A8178"/>
          <w:sz w:val="15"/>
        </w:rPr>
        <w:t xml:space="preserve">[S07-p29-s04, S07-p41-s02, S07-p41-s03]</w:t>
      </w:r>
      <w:r>
        <w:t xml:space="preserve">.</w:t>
      </w:r>
    </w:p>
  </w:footnote>
  <w:footnote w:id="214">
    <w:p>
      <w:pPr>
        <w:pStyle w:val="FootnoteText"/>
      </w:pPr>
      <w:r>
        <w:rPr>
          <w:rStyle w:val="FootnoteReference"/>
        </w:rPr>
        <w:footnoteRef/>
      </w:r>
      <w:r>
        <w:t xml:space="preserve"> S07, s. 32–33 i 57 </w:t>
      </w:r>
      <w:r>
        <w:rPr>
          <w:color w:val="8A8178"/>
          <w:sz w:val="15"/>
        </w:rPr>
        <w:t xml:space="preserve">[S07-p32-s01, S07-p33-s01, S07-p57-s02]</w:t>
      </w:r>
      <w:r>
        <w:t xml:space="preserve">; S03, s. 19 i 32 </w:t>
      </w:r>
      <w:r>
        <w:rPr>
          <w:color w:val="8A8178"/>
          <w:sz w:val="15"/>
        </w:rPr>
        <w:t xml:space="preserve">[S03-p19-s02, S03-p32-s02]</w:t>
      </w:r>
      <w:r>
        <w:t xml:space="preserve">.</w:t>
      </w:r>
    </w:p>
  </w:footnote>
  <w:footnote w:id="215">
    <w:p>
      <w:pPr>
        <w:pStyle w:val="FootnoteText"/>
      </w:pPr>
      <w:r>
        <w:rPr>
          <w:rStyle w:val="FootnoteReference"/>
        </w:rPr>
        <w:footnoteRef/>
      </w:r>
      <w:r>
        <w:t xml:space="preserve"> S07, s. 33–35 </w:t>
      </w:r>
      <w:r>
        <w:rPr>
          <w:color w:val="8A8178"/>
          <w:sz w:val="15"/>
        </w:rPr>
        <w:t xml:space="preserve">[S07-p33-s02, S07-p33-s03, S07-p34-s02, S07-p35-s01]</w:t>
      </w:r>
      <w:r>
        <w:t xml:space="preserve">; S03, s. 20–21 </w:t>
      </w:r>
      <w:r>
        <w:rPr>
          <w:color w:val="8A8178"/>
          <w:sz w:val="15"/>
        </w:rPr>
        <w:t xml:space="preserve">[S03-p20-s03, S03-p20-s06, S03-p21-s03]</w:t>
      </w:r>
      <w:r>
        <w:t xml:space="preserve">; S08, s. 64 </w:t>
      </w:r>
      <w:r>
        <w:rPr>
          <w:color w:val="8A8178"/>
          <w:sz w:val="15"/>
        </w:rPr>
        <w:t xml:space="preserve">[S08-p064-s03]</w:t>
      </w:r>
      <w:r>
        <w:t xml:space="preserve">.</w:t>
      </w:r>
    </w:p>
  </w:footnote>
  <w:footnote w:id="216">
    <w:p>
      <w:pPr>
        <w:pStyle w:val="FootnoteText"/>
      </w:pPr>
      <w:r>
        <w:rPr>
          <w:rStyle w:val="FootnoteReference"/>
        </w:rPr>
        <w:footnoteRef/>
      </w:r>
      <w:r>
        <w:t xml:space="preserve"> S07, s. 34 </w:t>
      </w:r>
      <w:r>
        <w:rPr>
          <w:color w:val="8A8178"/>
          <w:sz w:val="15"/>
        </w:rPr>
        <w:t xml:space="preserve">[S07-p34-s01]</w:t>
      </w:r>
      <w:r>
        <w:t xml:space="preserve">; S03, s. 9, 21, 53 </w:t>
      </w:r>
      <w:r>
        <w:rPr>
          <w:color w:val="8A8178"/>
          <w:sz w:val="15"/>
        </w:rPr>
        <w:t xml:space="preserve">[S03-p09-s03, S03-p21-s02, S03-p53-s02]</w:t>
      </w:r>
      <w:r>
        <w:t xml:space="preserve">; S05, s. 1 </w:t>
      </w:r>
      <w:r>
        <w:rPr>
          <w:color w:val="8A8178"/>
          <w:sz w:val="15"/>
        </w:rPr>
        <w:t xml:space="preserve">[S05-p01-s03]</w:t>
      </w:r>
      <w:r>
        <w:t xml:space="preserve">; S07, s. 59 </w:t>
      </w:r>
      <w:r>
        <w:rPr>
          <w:color w:val="8A8178"/>
          <w:sz w:val="15"/>
        </w:rPr>
        <w:t xml:space="preserve">[S07-p59-s03]</w:t>
      </w:r>
      <w:r>
        <w:t xml:space="preserve">.</w:t>
      </w:r>
    </w:p>
  </w:footnote>
  <w:footnote w:id="217">
    <w:p>
      <w:pPr>
        <w:pStyle w:val="FootnoteText"/>
      </w:pPr>
      <w:r>
        <w:rPr>
          <w:rStyle w:val="FootnoteReference"/>
        </w:rPr>
        <w:footnoteRef/>
      </w:r>
      <w:r>
        <w:t xml:space="preserve"> S07, s. 35 i 61 </w:t>
      </w:r>
      <w:r>
        <w:rPr>
          <w:color w:val="8A8178"/>
          <w:sz w:val="15"/>
        </w:rPr>
        <w:t xml:space="preserve">[S07-p35-s01, S07-p61-s02]</w:t>
      </w:r>
      <w:r>
        <w:t xml:space="preserve">; S08, s. 64 </w:t>
      </w:r>
      <w:r>
        <w:rPr>
          <w:color w:val="8A8178"/>
          <w:sz w:val="15"/>
        </w:rPr>
        <w:t xml:space="preserve">[S08-p064-s03]</w:t>
      </w:r>
      <w:r>
        <w:t xml:space="preserve">.</w:t>
      </w:r>
    </w:p>
  </w:footnote>
  <w:footnote w:id="218">
    <w:p>
      <w:pPr>
        <w:pStyle w:val="FootnoteText"/>
      </w:pPr>
      <w:r>
        <w:rPr>
          <w:rStyle w:val="FootnoteReference"/>
        </w:rPr>
        <w:footnoteRef/>
      </w:r>
      <w:r>
        <w:t xml:space="preserve"> S07, s. 35–36 </w:t>
      </w:r>
      <w:r>
        <w:rPr>
          <w:color w:val="8A8178"/>
          <w:sz w:val="15"/>
        </w:rPr>
        <w:t xml:space="preserve">[S07-p35-s01, S07-p36-s01]</w:t>
      </w:r>
      <w:r>
        <w:t xml:space="preserve">.</w:t>
      </w:r>
    </w:p>
  </w:footnote>
  <w:footnote w:id="219">
    <w:p>
      <w:pPr>
        <w:pStyle w:val="FootnoteText"/>
      </w:pPr>
      <w:r>
        <w:rPr>
          <w:rStyle w:val="FootnoteReference"/>
        </w:rPr>
        <w:footnoteRef/>
      </w:r>
      <w:r>
        <w:t xml:space="preserve"> S07, s. 35–37 </w:t>
      </w:r>
      <w:r>
        <w:rPr>
          <w:color w:val="8A8178"/>
          <w:sz w:val="15"/>
        </w:rPr>
        <w:t xml:space="preserve">[S07-p35-s01, S07-p36-s01, S07-p37-s01]</w:t>
      </w:r>
      <w:r>
        <w:t xml:space="preserve">; S08, s. 64 i 67 </w:t>
      </w:r>
      <w:r>
        <w:rPr>
          <w:color w:val="8A8178"/>
          <w:sz w:val="15"/>
        </w:rPr>
        <w:t xml:space="preserve">[S08-p064-s04, S08-p064-s05, S08-p067-s03]</w:t>
      </w:r>
      <w:r>
        <w:t xml:space="preserve">.</w:t>
      </w:r>
    </w:p>
  </w:footnote>
  <w:footnote w:id="220">
    <w:p>
      <w:pPr>
        <w:pStyle w:val="FootnoteText"/>
      </w:pPr>
      <w:r>
        <w:rPr>
          <w:rStyle w:val="FootnoteReference"/>
        </w:rPr>
        <w:footnoteRef/>
      </w:r>
      <w:r>
        <w:t xml:space="preserve"> S08, s. 68 </w:t>
      </w:r>
      <w:r>
        <w:rPr>
          <w:color w:val="8A8178"/>
          <w:sz w:val="15"/>
        </w:rPr>
        <w:t xml:space="preserve">[S08-p068-s02]</w:t>
      </w:r>
      <w:r>
        <w:t xml:space="preserve">.</w:t>
      </w:r>
    </w:p>
  </w:footnote>
  <w:footnote w:id="221">
    <w:p>
      <w:pPr>
        <w:pStyle w:val="FootnoteText"/>
      </w:pPr>
      <w:r>
        <w:rPr>
          <w:rStyle w:val="FootnoteReference"/>
        </w:rPr>
        <w:footnoteRef/>
      </w:r>
      <w:r>
        <w:t xml:space="preserve"> S08, s. 67 </w:t>
      </w:r>
      <w:r>
        <w:rPr>
          <w:color w:val="8A8178"/>
          <w:sz w:val="15"/>
        </w:rPr>
        <w:t xml:space="preserve">[S08-p067-s02, S08-p067-s03]</w:t>
      </w:r>
      <w:r>
        <w:t xml:space="preserve">.</w:t>
      </w:r>
    </w:p>
  </w:footnote>
  <w:footnote w:id="222">
    <w:p>
      <w:pPr>
        <w:pStyle w:val="FootnoteText"/>
      </w:pPr>
      <w:r>
        <w:rPr>
          <w:rStyle w:val="FootnoteReference"/>
        </w:rPr>
        <w:footnoteRef/>
      </w:r>
      <w:r>
        <w:t xml:space="preserve"> S07, s. 38–39 </w:t>
      </w:r>
      <w:r>
        <w:rPr>
          <w:color w:val="8A8178"/>
          <w:sz w:val="15"/>
        </w:rPr>
        <w:t xml:space="preserve">[S07-p38-s01, S07-p39-s01]</w:t>
      </w:r>
      <w:r>
        <w:t xml:space="preserve">; S03, s. 9 </w:t>
      </w:r>
      <w:r>
        <w:rPr>
          <w:color w:val="8A8178"/>
          <w:sz w:val="15"/>
        </w:rPr>
        <w:t xml:space="preserve">[S03-p09-s04]</w:t>
      </w:r>
      <w:r>
        <w:t xml:space="preserve">.</w:t>
      </w:r>
    </w:p>
  </w:footnote>
  <w:footnote w:id="223">
    <w:p>
      <w:pPr>
        <w:pStyle w:val="FootnoteText"/>
      </w:pPr>
      <w:r>
        <w:rPr>
          <w:rStyle w:val="FootnoteReference"/>
        </w:rPr>
        <w:footnoteRef/>
      </w:r>
      <w:r>
        <w:t xml:space="preserve"> S07, s. 39–40 </w:t>
      </w:r>
      <w:r>
        <w:rPr>
          <w:color w:val="8A8178"/>
          <w:sz w:val="15"/>
        </w:rPr>
        <w:t xml:space="preserve">[S07-p39-s02, S07-p40-s01]</w:t>
      </w:r>
      <w:r>
        <w:t xml:space="preserve">.</w:t>
      </w:r>
    </w:p>
  </w:footnote>
  <w:footnote w:id="224">
    <w:p>
      <w:pPr>
        <w:pStyle w:val="FootnoteText"/>
      </w:pPr>
      <w:r>
        <w:rPr>
          <w:rStyle w:val="FootnoteReference"/>
        </w:rPr>
        <w:footnoteRef/>
      </w:r>
      <w:r>
        <w:t xml:space="preserve"> S07, s. 48 </w:t>
      </w:r>
      <w:r>
        <w:rPr>
          <w:color w:val="8A8178"/>
          <w:sz w:val="15"/>
        </w:rPr>
        <w:t xml:space="preserve">[S07-p48-s02, S07-p48-s03, S07-p48-s04]</w:t>
      </w:r>
      <w:r>
        <w:t xml:space="preserve">; S03, s. 13 </w:t>
      </w:r>
      <w:r>
        <w:rPr>
          <w:color w:val="8A8178"/>
          <w:sz w:val="15"/>
        </w:rPr>
        <w:t xml:space="preserve">[S03-p13-s03, S03-p13-s04]</w:t>
      </w:r>
      <w:r>
        <w:t xml:space="preserve">.</w:t>
      </w:r>
    </w:p>
  </w:footnote>
  <w:footnote w:id="225">
    <w:p>
      <w:pPr>
        <w:pStyle w:val="FootnoteText"/>
      </w:pPr>
      <w:r>
        <w:rPr>
          <w:rStyle w:val="FootnoteReference"/>
        </w:rPr>
        <w:footnoteRef/>
      </w:r>
      <w:r>
        <w:t xml:space="preserve"> S07, s. 46 </w:t>
      </w:r>
      <w:r>
        <w:rPr>
          <w:color w:val="8A8178"/>
          <w:sz w:val="15"/>
        </w:rPr>
        <w:t xml:space="preserve">[S07-p46-s01, S07-p46-s03]</w:t>
      </w:r>
      <w:r>
        <w:t xml:space="preserve">; S03, s. 7, 9, 10 </w:t>
      </w:r>
      <w:r>
        <w:rPr>
          <w:color w:val="8A8178"/>
          <w:sz w:val="15"/>
        </w:rPr>
        <w:t xml:space="preserve">[S03-p07-s06, S03-p09-s08, S03-p10-s07]</w:t>
      </w:r>
      <w:r>
        <w:t xml:space="preserve">.</w:t>
      </w:r>
    </w:p>
  </w:footnote>
  <w:footnote w:id="226">
    <w:p>
      <w:pPr>
        <w:pStyle w:val="FootnoteText"/>
      </w:pPr>
      <w:r>
        <w:rPr>
          <w:rStyle w:val="FootnoteReference"/>
        </w:rPr>
        <w:footnoteRef/>
      </w:r>
      <w:r>
        <w:t xml:space="preserve"> S07, s. 46 i 59 </w:t>
      </w:r>
      <w:r>
        <w:rPr>
          <w:color w:val="8A8178"/>
          <w:sz w:val="15"/>
        </w:rPr>
        <w:t xml:space="preserve">[S07-p46-s02, S07-p59-s04]</w:t>
      </w:r>
      <w:r>
        <w:t xml:space="preserve">.</w:t>
      </w:r>
    </w:p>
  </w:footnote>
  <w:footnote w:id="227">
    <w:p>
      <w:pPr>
        <w:pStyle w:val="FootnoteText"/>
      </w:pPr>
      <w:r>
        <w:rPr>
          <w:rStyle w:val="FootnoteReference"/>
        </w:rPr>
        <w:footnoteRef/>
      </w:r>
      <w:r>
        <w:t xml:space="preserve"> S07, s. 52 </w:t>
      </w:r>
      <w:r>
        <w:rPr>
          <w:color w:val="8A8178"/>
          <w:sz w:val="15"/>
        </w:rPr>
        <w:t xml:space="preserve">[S07-p52-s03, S07-p52-s04]</w:t>
      </w:r>
      <w:r>
        <w:t xml:space="preserve">.</w:t>
      </w:r>
    </w:p>
  </w:footnote>
  <w:footnote w:id="228">
    <w:p>
      <w:pPr>
        <w:pStyle w:val="FootnoteText"/>
      </w:pPr>
      <w:r>
        <w:rPr>
          <w:rStyle w:val="FootnoteReference"/>
        </w:rPr>
        <w:footnoteRef/>
      </w:r>
      <w:r>
        <w:t xml:space="preserve"> S07, s. 42–43 </w:t>
      </w:r>
      <w:r>
        <w:rPr>
          <w:color w:val="8A8178"/>
          <w:sz w:val="15"/>
        </w:rPr>
        <w:t xml:space="preserve">[S07-p42-s02, S07-p43-s01]</w:t>
      </w:r>
      <w:r>
        <w:t xml:space="preserve">; S07, s. 61 </w:t>
      </w:r>
      <w:r>
        <w:rPr>
          <w:color w:val="8A8178"/>
          <w:sz w:val="15"/>
        </w:rPr>
        <w:t xml:space="preserve">[S07-p61-s01]</w:t>
      </w:r>
      <w:r>
        <w:t xml:space="preserve">.</w:t>
      </w:r>
    </w:p>
  </w:footnote>
  <w:footnote w:id="229">
    <w:p>
      <w:pPr>
        <w:pStyle w:val="FootnoteText"/>
      </w:pPr>
      <w:r>
        <w:rPr>
          <w:rStyle w:val="FootnoteReference"/>
        </w:rPr>
        <w:footnoteRef/>
      </w:r>
      <w:r>
        <w:t xml:space="preserve"> S07, s. 42 i 55 </w:t>
      </w:r>
      <w:r>
        <w:rPr>
          <w:color w:val="8A8178"/>
          <w:sz w:val="15"/>
        </w:rPr>
        <w:t xml:space="preserve">[S07-p42-s02, S07-p55-s04]</w:t>
      </w:r>
      <w:r>
        <w:t xml:space="preserve">; S03, s. 10 </w:t>
      </w:r>
      <w:r>
        <w:rPr>
          <w:color w:val="8A8178"/>
          <w:sz w:val="15"/>
        </w:rPr>
        <w:t xml:space="preserve">[S03-p10-s08]</w:t>
      </w:r>
      <w:r>
        <w:t xml:space="preserve">.</w:t>
      </w:r>
    </w:p>
  </w:footnote>
  <w:footnote w:id="230">
    <w:p>
      <w:pPr>
        <w:pStyle w:val="FootnoteText"/>
      </w:pPr>
      <w:r>
        <w:rPr>
          <w:rStyle w:val="FootnoteReference"/>
        </w:rPr>
        <w:footnoteRef/>
      </w:r>
      <w:r>
        <w:t xml:space="preserve"> S07, s. 43 </w:t>
      </w:r>
      <w:r>
        <w:rPr>
          <w:color w:val="8A8178"/>
          <w:sz w:val="15"/>
        </w:rPr>
        <w:t xml:space="preserve">[S07-p43-s02]</w:t>
      </w:r>
      <w:r>
        <w:t xml:space="preserve">.</w:t>
      </w:r>
    </w:p>
  </w:footnote>
  <w:footnote w:id="231">
    <w:p>
      <w:pPr>
        <w:pStyle w:val="FootnoteText"/>
      </w:pPr>
      <w:r>
        <w:rPr>
          <w:rStyle w:val="FootnoteReference"/>
        </w:rPr>
        <w:footnoteRef/>
      </w:r>
      <w:r>
        <w:t xml:space="preserve"> S07, s. 44–45 </w:t>
      </w:r>
      <w:r>
        <w:rPr>
          <w:color w:val="8A8178"/>
          <w:sz w:val="15"/>
        </w:rPr>
        <w:t xml:space="preserve">[S07-p44-s02, S07-p44-s03, S07-p44-s04, S07-p44-s05, S07-p45-s01]</w:t>
      </w:r>
      <w:r>
        <w:t xml:space="preserve">; S07, s. 59 </w:t>
      </w:r>
      <w:r>
        <w:rPr>
          <w:color w:val="8A8178"/>
          <w:sz w:val="15"/>
        </w:rPr>
        <w:t xml:space="preserve">[S07-p59-s01]</w:t>
      </w:r>
      <w:r>
        <w:t xml:space="preserve">; S03, s. 15 </w:t>
      </w:r>
      <w:r>
        <w:rPr>
          <w:color w:val="8A8178"/>
          <w:sz w:val="15"/>
        </w:rPr>
        <w:t xml:space="preserve">[S03-p15-s04]</w:t>
      </w:r>
      <w:r>
        <w:t xml:space="preserve">.</w:t>
      </w:r>
    </w:p>
  </w:footnote>
  <w:footnote w:id="232">
    <w:p>
      <w:pPr>
        <w:pStyle w:val="FootnoteText"/>
      </w:pPr>
      <w:r>
        <w:rPr>
          <w:rStyle w:val="FootnoteReference"/>
        </w:rPr>
        <w:footnoteRef/>
      </w:r>
      <w:r>
        <w:t xml:space="preserve"> S07, s. 45 </w:t>
      </w:r>
      <w:r>
        <w:rPr>
          <w:color w:val="8A8178"/>
          <w:sz w:val="15"/>
        </w:rPr>
        <w:t xml:space="preserve">[S07-p45-s02]</w:t>
      </w:r>
      <w:r>
        <w:t xml:space="preserve">.</w:t>
      </w:r>
    </w:p>
  </w:footnote>
  <w:footnote w:id="233">
    <w:p>
      <w:pPr>
        <w:pStyle w:val="FootnoteText"/>
      </w:pPr>
      <w:r>
        <w:rPr>
          <w:rStyle w:val="FootnoteReference"/>
        </w:rPr>
        <w:footnoteRef/>
      </w:r>
      <w:r>
        <w:t xml:space="preserve"> S07, s. 6, 26, 33 </w:t>
      </w:r>
      <w:r>
        <w:rPr>
          <w:color w:val="8A8178"/>
          <w:sz w:val="15"/>
        </w:rPr>
        <w:t xml:space="preserve">[S07-p06-s03, S07-p26-s02, S07-p33-s03]</w:t>
      </w:r>
      <w:r>
        <w:t xml:space="preserve">; S03, s. 10 </w:t>
      </w:r>
      <w:r>
        <w:rPr>
          <w:color w:val="8A8178"/>
          <w:sz w:val="15"/>
        </w:rPr>
        <w:t xml:space="preserve">[S03-p10-s01]</w:t>
      </w:r>
      <w:r>
        <w:t xml:space="preserve">.</w:t>
      </w:r>
    </w:p>
  </w:footnote>
  <w:footnote w:id="234">
    <w:p>
      <w:pPr>
        <w:pStyle w:val="FootnoteText"/>
      </w:pPr>
      <w:r>
        <w:rPr>
          <w:rStyle w:val="FootnoteReference"/>
        </w:rPr>
        <w:footnoteRef/>
      </w:r>
      <w:r>
        <w:t xml:space="preserve"> S03, s. 22–23 i 31 </w:t>
      </w:r>
      <w:r>
        <w:rPr>
          <w:color w:val="8A8178"/>
          <w:sz w:val="15"/>
        </w:rPr>
        <w:t xml:space="preserve">[S03-p22-s01, S03-p23-s02, S03-p31-s02]</w:t>
      </w:r>
      <w:r>
        <w:t xml:space="preserve">; S07, s. 28 i 47 </w:t>
      </w:r>
      <w:r>
        <w:rPr>
          <w:color w:val="8A8178"/>
          <w:sz w:val="15"/>
        </w:rPr>
        <w:t xml:space="preserve">[S07-p28-s04, S07-p47-s02]</w:t>
      </w:r>
      <w:r>
        <w:t xml:space="preserve">.</w:t>
      </w:r>
    </w:p>
  </w:footnote>
  <w:footnote w:id="235">
    <w:p>
      <w:pPr>
        <w:pStyle w:val="FootnoteText"/>
      </w:pPr>
      <w:r>
        <w:rPr>
          <w:rStyle w:val="FootnoteReference"/>
        </w:rPr>
        <w:footnoteRef/>
      </w:r>
      <w:r>
        <w:t xml:space="preserve"> S07, s. 47 </w:t>
      </w:r>
      <w:r>
        <w:rPr>
          <w:color w:val="8A8178"/>
          <w:sz w:val="15"/>
        </w:rPr>
        <w:t xml:space="preserve">[S07-p47-s02, S07-p47-s03]</w:t>
      </w:r>
      <w:r>
        <w:t xml:space="preserve">; S03, s. 10 </w:t>
      </w:r>
      <w:r>
        <w:rPr>
          <w:color w:val="8A8178"/>
          <w:sz w:val="15"/>
        </w:rPr>
        <w:t xml:space="preserve">[S03-p10-s06]</w:t>
      </w:r>
      <w:r>
        <w:t xml:space="preserve">.</w:t>
      </w:r>
    </w:p>
  </w:footnote>
  <w:footnote w:id="236">
    <w:p>
      <w:pPr>
        <w:pStyle w:val="FootnoteText"/>
      </w:pPr>
      <w:r>
        <w:rPr>
          <w:rStyle w:val="FootnoteReference"/>
        </w:rPr>
        <w:footnoteRef/>
      </w:r>
      <w:r>
        <w:t xml:space="preserve"> S07, s. 16, 32, 42, 59 </w:t>
      </w:r>
      <w:r>
        <w:rPr>
          <w:color w:val="8A8178"/>
          <w:sz w:val="15"/>
        </w:rPr>
        <w:t xml:space="preserve">[S07-p16-s03, S07-p32-s01, S07-p42-s02, S07-p59-s02]</w:t>
      </w:r>
      <w:r>
        <w:t xml:space="preserve">; S03, s. 41 </w:t>
      </w:r>
      <w:r>
        <w:rPr>
          <w:color w:val="8A8178"/>
          <w:sz w:val="15"/>
        </w:rPr>
        <w:t xml:space="preserve">[S03-p41-s02]</w:t>
      </w:r>
      <w:r>
        <w:t xml:space="preserve">.</w:t>
      </w:r>
    </w:p>
  </w:footnote>
  <w:footnote w:id="237">
    <w:p>
      <w:pPr>
        <w:pStyle w:val="FootnoteText"/>
      </w:pPr>
      <w:r>
        <w:rPr>
          <w:rStyle w:val="FootnoteReference"/>
        </w:rPr>
        <w:footnoteRef/>
      </w:r>
      <w:r>
        <w:t xml:space="preserve"> S03, s. 7 i 10 </w:t>
      </w:r>
      <w:r>
        <w:rPr>
          <w:color w:val="8A8178"/>
          <w:sz w:val="15"/>
        </w:rPr>
        <w:t xml:space="preserve">[S03-p07-s02, S03-p10-s02]</w:t>
      </w:r>
      <w:r>
        <w:t xml:space="preserve">.</w:t>
      </w:r>
    </w:p>
  </w:footnote>
  <w:footnote w:id="238">
    <w:p>
      <w:pPr>
        <w:pStyle w:val="FootnoteText"/>
      </w:pPr>
      <w:r>
        <w:rPr>
          <w:rStyle w:val="FootnoteReference"/>
        </w:rPr>
        <w:footnoteRef/>
      </w:r>
      <w:r>
        <w:t xml:space="preserve"> S07, s. 6 i 16 </w:t>
      </w:r>
      <w:r>
        <w:rPr>
          <w:color w:val="8A8178"/>
          <w:sz w:val="15"/>
        </w:rPr>
        <w:t xml:space="preserve">[S07-p06-s02, S07-p16-s02]</w:t>
      </w:r>
      <w:r>
        <w:t xml:space="preserve">.</w:t>
      </w:r>
    </w:p>
  </w:footnote>
  <w:footnote w:id="239">
    <w:p>
      <w:pPr>
        <w:pStyle w:val="FootnoteText"/>
      </w:pPr>
      <w:r>
        <w:rPr>
          <w:rStyle w:val="FootnoteReference"/>
        </w:rPr>
        <w:footnoteRef/>
      </w:r>
      <w:r>
        <w:t xml:space="preserve"> S03, s. 15, 26, 31, 42 </w:t>
      </w:r>
      <w:r>
        <w:rPr>
          <w:color w:val="8A8178"/>
          <w:sz w:val="15"/>
        </w:rPr>
        <w:t xml:space="preserve">[S03-p15-s03, S03-p26-s03, S03-p31-s02, S03-p42-s02]</w:t>
      </w:r>
      <w:r>
        <w:t xml:space="preserve">; S07, s. 8, 14, 19, 27, 39–44, 61 </w:t>
      </w:r>
      <w:r>
        <w:rPr>
          <w:color w:val="8A8178"/>
          <w:sz w:val="15"/>
        </w:rPr>
        <w:t xml:space="preserve">[S07-p08-s01, S07-p14-s01, S07-p19-s01, S07-p27-s04, S07-p27-s05, S07-p39-s02, S07-p40-s01, S07-p43-s01, S07-p44-s04, S07-p61-s03]</w:t>
      </w:r>
      <w:r>
        <w:t xml:space="preserve">; S04, s. 1 </w:t>
      </w:r>
      <w:r>
        <w:rPr>
          <w:color w:val="8A8178"/>
          <w:sz w:val="15"/>
        </w:rPr>
        <w:t xml:space="preserve">[S04-p01-s06]</w:t>
      </w:r>
      <w:r>
        <w:t xml:space="preserve">; S08, s. 67 </w:t>
      </w:r>
      <w:r>
        <w:rPr>
          <w:color w:val="8A8178"/>
          <w:sz w:val="15"/>
        </w:rPr>
        <w:t xml:space="preserve">[S08-p067-s03]</w:t>
      </w:r>
      <w:r>
        <w:t xml:space="preserve">.</w:t>
      </w:r>
    </w:p>
  </w:footnote>
  <w:footnote w:id="240">
    <w:p>
      <w:pPr>
        <w:pStyle w:val="FootnoteText"/>
      </w:pPr>
      <w:r>
        <w:rPr>
          <w:rStyle w:val="FootnoteReference"/>
        </w:rPr>
        <w:footnoteRef/>
      </w:r>
      <w:r>
        <w:t xml:space="preserve"> S08, s. 73, przypis 11 </w:t>
      </w:r>
      <w:r>
        <w:rPr>
          <w:color w:val="8A8178"/>
          <w:sz w:val="15"/>
        </w:rPr>
        <w:t xml:space="preserve">[S08-p073-f11]</w:t>
      </w:r>
      <w:r>
        <w:t xml:space="preserve">.</w:t>
      </w:r>
    </w:p>
  </w:footnote>
  <w:footnote w:id="241">
    <w:p>
      <w:pPr>
        <w:pStyle w:val="FootnoteText"/>
      </w:pPr>
      <w:r>
        <w:rPr>
          <w:rStyle w:val="FootnoteReference"/>
        </w:rPr>
        <w:footnoteRef/>
      </w:r>
      <w:r>
        <w:t xml:space="preserve"> S03, s. 39 </w:t>
      </w:r>
      <w:r>
        <w:rPr>
          <w:color w:val="8A8178"/>
          <w:sz w:val="15"/>
        </w:rPr>
        <w:t xml:space="preserve">[S03-p39-s02, S03-p39-s03]</w:t>
      </w:r>
      <w:r>
        <w:t xml:space="preserve">.</w:t>
      </w:r>
    </w:p>
  </w:footnote>
  <w:footnote w:id="242">
    <w:p>
      <w:pPr>
        <w:pStyle w:val="FootnoteText"/>
      </w:pPr>
      <w:r>
        <w:rPr>
          <w:rStyle w:val="FootnoteReference"/>
        </w:rPr>
        <w:footnoteRef/>
      </w:r>
      <w:r>
        <w:t xml:space="preserve"> S03, s. 38 </w:t>
      </w:r>
      <w:r>
        <w:rPr>
          <w:color w:val="8A8178"/>
          <w:sz w:val="15"/>
        </w:rPr>
        <w:t xml:space="preserve">[S03-p38-s02]</w:t>
      </w:r>
      <w:r>
        <w:t xml:space="preserve">; S07, s. 60–61 </w:t>
      </w:r>
      <w:r>
        <w:rPr>
          <w:color w:val="8A8178"/>
          <w:sz w:val="15"/>
        </w:rPr>
        <w:t xml:space="preserve">[S07-p60-s01, S07-p60-s02, S07-p60-s03, S07-p60-s04, S07-p60-s05, S07-p60-s06, S07-p61-s01, S07-p61-s02, S07-p61-s03, S07-p61-s04]</w:t>
      </w:r>
      <w:r>
        <w:t xml:space="preserve">.</w:t>
      </w:r>
    </w:p>
  </w:footnote>
  <w:footnote w:id="243">
    <w:p>
      <w:pPr>
        <w:pStyle w:val="FootnoteText"/>
      </w:pPr>
      <w:r>
        <w:rPr>
          <w:rStyle w:val="FootnoteReference"/>
        </w:rPr>
        <w:footnoteRef/>
      </w:r>
      <w:r>
        <w:t xml:space="preserve"> S08, s. 71, 78 i 68 </w:t>
      </w:r>
      <w:r>
        <w:rPr>
          <w:color w:val="8A8178"/>
          <w:sz w:val="15"/>
        </w:rPr>
        <w:t xml:space="preserve">[S08-p071-s03, S08-p078-s01, S08-p068-s02]</w:t>
      </w:r>
      <w:r>
        <w:t xml:space="preserve">.</w:t>
      </w:r>
    </w:p>
  </w:footnote>
  <w:footnote w:id="244">
    <w:p>
      <w:pPr>
        <w:pStyle w:val="FootnoteText"/>
      </w:pPr>
      <w:r>
        <w:rPr>
          <w:rStyle w:val="FootnoteReference"/>
        </w:rPr>
        <w:footnoteRef/>
      </w:r>
      <w:r>
        <w:t xml:space="preserve"> S08, s. 128 i 132 </w:t>
      </w:r>
      <w:r>
        <w:rPr>
          <w:color w:val="8A8178"/>
          <w:sz w:val="15"/>
        </w:rPr>
        <w:t xml:space="preserve">[S08-p128-s02, S08-p132-s02]</w:t>
      </w:r>
      <w:r>
        <w:t xml:space="preserve">; S10, s. 7 </w:t>
      </w:r>
      <w:r>
        <w:rPr>
          <w:color w:val="8A8178"/>
          <w:sz w:val="15"/>
        </w:rPr>
        <w:t xml:space="preserve">[S10-p7-s01]</w:t>
      </w:r>
      <w:r>
        <w:t xml:space="preserve">.</w:t>
      </w:r>
    </w:p>
  </w:footnote>
  <w:footnote w:id="245">
    <w:p>
      <w:pPr>
        <w:pStyle w:val="FootnoteText"/>
      </w:pPr>
      <w:r>
        <w:rPr>
          <w:rStyle w:val="FootnoteReference"/>
        </w:rPr>
        <w:footnoteRef/>
      </w:r>
      <w:r>
        <w:t xml:space="preserve"> S08, s. 145 i 152 </w:t>
      </w:r>
      <w:r>
        <w:rPr>
          <w:color w:val="8A8178"/>
          <w:sz w:val="15"/>
        </w:rPr>
        <w:t xml:space="preserve">[S08-p145-s02, S08-p152-s02]</w:t>
      </w:r>
      <w:r>
        <w:t xml:space="preserve">.</w:t>
      </w:r>
    </w:p>
  </w:footnote>
  <w:footnote w:id="246">
    <w:p>
      <w:pPr>
        <w:pStyle w:val="FootnoteText"/>
      </w:pPr>
      <w:r>
        <w:rPr>
          <w:rStyle w:val="FootnoteReference"/>
        </w:rPr>
        <w:footnoteRef/>
      </w:r>
      <w:r>
        <w:t xml:space="preserve"> S03, s. 30–37 </w:t>
      </w:r>
      <w:r>
        <w:rPr>
          <w:color w:val="8A8178"/>
          <w:sz w:val="15"/>
        </w:rPr>
        <w:t xml:space="preserve">[S03-p30-s02, S03-p31-s02, S03-p32-s02, S03-p33-s02, S03-p35-s02, S03-p36-s02, S03-p36-s03, S03-p37-s01, S03-p37-s02]</w:t>
      </w:r>
      <w:r>
        <w:t xml:space="preserve">; S07, s. 52–59 </w:t>
      </w:r>
      <w:r>
        <w:rPr>
          <w:color w:val="8A8178"/>
          <w:sz w:val="15"/>
        </w:rPr>
        <w:t xml:space="preserve">[S07-p52-s02, S07-p54-s01, S07-p54-s02, S07-p55-s02, S07-p55-s03, S07-p55-s04, S07-p56-s01, S07-p56-s02, S07-p56-s03, S07-p56-s04, S07-p56-s05, S07-p57-s01, S07-p57-s02, S07-p58-s01, S07-p58-s02, S07-p58-s03, S07-p58-s04, S07-p58-s05, S07-p58-s06, S07-p59-s01, S07-p59-s03, S07-p59-s04]</w:t>
      </w:r>
      <w:r>
        <w:t xml:space="preserve">; S05, s. 1 </w:t>
      </w:r>
      <w:r>
        <w:rPr>
          <w:color w:val="8A8178"/>
          <w:sz w:val="15"/>
        </w:rPr>
        <w:t xml:space="preserve">[S05-p01-s02]</w:t>
      </w:r>
      <w:r>
        <w:t xml:space="preserve">.</w:t>
      </w:r>
    </w:p>
  </w:footnote>
  <w:footnote w:id="247">
    <w:p>
      <w:pPr>
        <w:pStyle w:val="FootnoteText"/>
      </w:pPr>
      <w:r>
        <w:rPr>
          <w:rStyle w:val="FootnoteReference"/>
        </w:rPr>
        <w:footnoteRef/>
      </w:r>
      <w:r>
        <w:t xml:space="preserve"> S09 </w:t>
      </w:r>
      <w:r>
        <w:rPr>
          <w:color w:val="8A8178"/>
          <w:sz w:val="15"/>
        </w:rPr>
        <w:t xml:space="preserve">[S09-p1-s01]</w:t>
      </w:r>
      <w:r>
        <w:t xml:space="preserve">.</w:t>
      </w:r>
    </w:p>
  </w:footnote>
  <w:footnote w:id="248">
    <w:p>
      <w:pPr>
        <w:pStyle w:val="FootnoteText"/>
      </w:pPr>
      <w:r>
        <w:rPr>
          <w:rStyle w:val="FootnoteReference"/>
        </w:rPr>
        <w:footnoteRef/>
      </w:r>
      <w:r>
        <w:t xml:space="preserve"> S08, przypisy: s. 64 </w:t>
      </w:r>
      <w:r>
        <w:rPr>
          <w:color w:val="8A8178"/>
          <w:sz w:val="15"/>
        </w:rPr>
        <w:t xml:space="preserve">[S08-p064-f25, S08-p064-f26]</w:t>
      </w:r>
      <w:r>
        <w:t xml:space="preserve">, s. 73 </w:t>
      </w:r>
      <w:r>
        <w:rPr>
          <w:color w:val="8A8178"/>
          <w:sz w:val="15"/>
        </w:rPr>
        <w:t xml:space="preserve">[S08-p073-f13]</w:t>
      </w:r>
      <w:r>
        <w:t xml:space="preserve">, s. 128 </w:t>
      </w:r>
      <w:r>
        <w:rPr>
          <w:color w:val="8A8178"/>
          <w:sz w:val="15"/>
        </w:rPr>
        <w:t xml:space="preserve">[S08-p128-f20]</w:t>
      </w:r>
      <w:r>
        <w:t xml:space="preserve">, s. 145 </w:t>
      </w:r>
      <w:r>
        <w:rPr>
          <w:color w:val="8A8178"/>
          <w:sz w:val="15"/>
        </w:rPr>
        <w:t xml:space="preserve">[S08-p145-f23]</w:t>
      </w:r>
      <w:r>
        <w:t xml:space="preserve">.</w:t>
      </w:r>
    </w:p>
  </w:footnote>
  <w:footnote w:id="249">
    <w:p>
      <w:pPr>
        <w:pStyle w:val="FootnoteText"/>
      </w:pPr>
      <w:r>
        <w:rPr>
          <w:rStyle w:val="FootnoteReference"/>
        </w:rPr>
        <w:footnoteRef/>
      </w:r>
      <w:r>
        <w:t xml:space="preserve"> S08, s. 77 </w:t>
      </w:r>
      <w:r>
        <w:rPr>
          <w:color w:val="8A8178"/>
          <w:sz w:val="15"/>
        </w:rPr>
        <w:t xml:space="preserve">[S08-p077-s01]</w:t>
      </w:r>
      <w:r>
        <w:t xml:space="preserve">; S07, s. 6, 7, 17, 18 </w:t>
      </w:r>
      <w:r>
        <w:rPr>
          <w:color w:val="8A8178"/>
          <w:sz w:val="15"/>
        </w:rPr>
        <w:t xml:space="preserve">[S07-p06-s03, S07-p07-s01, S07-p17-s04, S07-p18-s02]</w:t>
      </w:r>
      <w:r>
        <w:t xml:space="preserve">.</w:t>
      </w:r>
    </w:p>
  </w:footnote>
  <w:footnote w:id="250">
    <w:p>
      <w:pPr>
        <w:pStyle w:val="FootnoteText"/>
      </w:pPr>
      <w:r>
        <w:rPr>
          <w:rStyle w:val="FootnoteReference"/>
        </w:rPr>
        <w:footnoteRef/>
      </w:r>
      <w:r>
        <w:t xml:space="preserve"> S07, s. 49–51 </w:t>
      </w:r>
      <w:r>
        <w:rPr>
          <w:color w:val="8A8178"/>
          <w:sz w:val="15"/>
        </w:rPr>
        <w:t xml:space="preserve">[S07-p49-s02, S07-p49-s03, S07-p50-s01, S07-p50-s03, S07-p51-s01]</w:t>
      </w:r>
      <w:r>
        <w:t xml:space="preserve">; S06 </w:t>
      </w:r>
      <w:r>
        <w:rPr>
          <w:color w:val="8A8178"/>
          <w:sz w:val="15"/>
        </w:rPr>
        <w:t xml:space="preserve">[S06-p01-s01, S06-p01-s02, S06-p01-s03, S06-p01-s05]</w:t>
      </w:r>
      <w:r>
        <w:t xml:space="preserve">; S02, przypisy </w:t>
      </w:r>
      <w:r>
        <w:rPr>
          <w:color w:val="8A8178"/>
          <w:sz w:val="15"/>
        </w:rPr>
        <w:t xml:space="preserve">[S02-p02-f1, S02-p06-f2, S02-p10-f4, S02-p10-f6, S02-p20-f9, S02-p23-f32]</w:t>
      </w:r>
      <w:r>
        <w:t xml:space="preserve">; S10, s. 5 </w:t>
      </w:r>
      <w:r>
        <w:rPr>
          <w:color w:val="8A8178"/>
          <w:sz w:val="15"/>
        </w:rPr>
        <w:t xml:space="preserve">[S10-p5-s03, S10-p5-s04]</w:t>
      </w:r>
      <w:r>
        <w:t xml:space="preserv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Cambria" w:hAnsi="Cambria" w:eastAsia="Cambria" w:cs="Cambria"/>
      <w:b/>
      <w:bCs/>
      <w:color w:val="7A1F1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mbria" w:hAnsi="Cambria" w:eastAsia="Cambria" w:cs="Cambria"/>
      <w:b/>
      <w:bCs/>
      <w:color w:val="7A1F1F"/>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mbria" w:hAnsi="Cambria" w:eastAsia="Cambria" w:cs="Cambria"/>
      <w:b/>
      <w:bCs/>
      <w:color w:val="7A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mbria" w:hAnsi="Cambria" w:eastAsia="Cambria" w:cs="Cambria"/>
      <w:b w:val="0"/>
      <w:color w:val="7A1F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567" w:right="283"/>
    </w:pPr>
    <w:rPr>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B625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basedOn w:val="Normal"/>
    <w:pPr>
      <w:spacing w:after="20" w:line="240" w:lineRule="auto"/>
    </w:pPr>
    <w:rPr>
      <w:sz w:val="17"/>
    </w:rPr>
  </w:style>
  <w:style w:type="character" w:customStyle="1" w:styleId="FootnoteReference">
    <w:name w:val="Footnote Reference"/>
    <w:rPr>
      <w:color w:val="7A1F1F"/>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Boxa-Radoszewscy herbu Oksza. Dzieje rodziny</dc:title>
  <dc:subject>Historia rodziny Radoszewskich h. Oksza na podstawie źródeł S01–S10</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pl-PL</dc:language>
</cp:coreProperties>
</file>