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30.10.2026r.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 związku z otrzymanym zapytaniem przedstawiamy naszą ofertę na dostawę i montaż 22 platform służących do niezależnego parkowania 56 pojazdów w garażu inwestycji ul. Brzozowa 9, Poznań.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Urządzenia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NK38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do niezależnego parkowania pojazdów (z zagłębieniem)</w:t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wysokość H1-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190,</w:t>
      </w:r>
      <w:r>
        <w:rPr>
          <w:sz w:val="16"/>
          <w:szCs w:val="16"/>
          <w:rFonts w:ascii="Verdana" w:cs="Verdana" w:eastAsia="Verdana" w:hAnsi="Verdana"/>
        </w:rPr>
        <w:t xml:space="preserve"> H2-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195</w:t>
      </w:r>
      <w:r>
        <w:rPr>
          <w:sz w:val="16"/>
          <w:szCs w:val="16"/>
          <w:rFonts w:ascii="Verdana" w:cs="Verdana" w:eastAsia="Verdana" w:hAnsi="Verdana"/>
        </w:rPr>
        <w:t xml:space="preserve">cm; długość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530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Prześwit między-kondygnacyjny:</w:t>
      </w:r>
      <w:r>
        <w:rPr>
          <w:sz w:val="16"/>
          <w:szCs w:val="16"/>
          <w:rFonts w:ascii="Verdana" w:cs="Verdana" w:eastAsia="Verdana" w:hAnsi="Verdana"/>
        </w:rPr>
        <w:t xml:space="preserve"> min.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360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▲-165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▼-175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*w zależności od zastanych wysokości zagłębienia oraz prześwitu pomieścimy pojazdy w podanych wyżej wysokościach lub wyższych na górnej platformie jeśli prześwit będzie miejscowo na to pozwalał. Prowadzone górą instalacje mogą znacząco prześwit ograniczyć!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Jeżeli prześwit w garażu będzie wyższy, automatycznie na górnej platformie będą mogły zaparkować odpowiednio wyższe samochody.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kg/koło;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urządzenie zabezpieczone ocynkiem ogniowym oraz częściowo lakierowane.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po bokach:</w:t>
      </w:r>
      <w:r>
        <w:rPr>
          <w:sz w:val="16"/>
          <w:szCs w:val="16"/>
          <w:rFonts w:ascii="Verdana" w:cs="Verdana" w:eastAsia="Verdana" w:hAnsi="Verdana"/>
        </w:rPr>
        <w:t xml:space="preserve"> barierki systemowe lub profile zmniejszające prześwit poziomy mocowane do ścian wszędzie tam gdzie istnieje przerwa pomiędzy platformami bądź platformami i ścianami co najmniej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</w:t>
      </w:r>
      <w:r>
        <w:rPr>
          <w:sz w:val="16"/>
          <w:szCs w:val="16"/>
          <w:rFonts w:ascii="Verdana" w:cs="Verdana" w:eastAsia="Verdana" w:hAnsi="Verdana"/>
        </w:rPr>
        <w:t xml:space="preserve">cm, zg. z PN.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NK38-S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250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280cm,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NK38-D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530cm,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6kW.</w:t>
      </w:r>
    </w:p>
    <w:p>
      <w:pPr>
        <w:spacing w:before="160"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2: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Platformy służące do zależnego parkowania pojazdów w pochyleniu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NK41</w:t>
      </w:r>
      <w:r>
        <w:rPr>
          <w:color w:val="3366CC"/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brak;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prześwitu: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280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▲-150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▼-150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Długość parkowanych pojazdów: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▲-400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▼-400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*parametry pojazdów dopuszczonych do wjazdu w obręb urządzeń są zależne od wysokości prześwitu dostępnego na danym miejscu w garażu.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2.000</w:t>
      </w:r>
      <w:r>
        <w:rPr>
          <w:sz w:val="16"/>
          <w:szCs w:val="16"/>
          <w:rFonts w:ascii="Verdana" w:cs="Verdana" w:eastAsia="Verdana" w:hAnsi="Verdana"/>
        </w:rPr>
        <w:t xml:space="preserve">kg/miejsce;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platforma ocynkowana ogniowo, słupy i siłowniki malowane.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12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NK41</w:t>
      </w:r>
      <w:r>
        <w:rPr>
          <w:sz w:val="16"/>
          <w:szCs w:val="16"/>
          <w:rFonts w:ascii="Verdana" w:cs="Verdana" w:eastAsia="Verdana" w:hAnsi="Verdana"/>
        </w:rPr>
        <w:t xml:space="preserve"> szer. użytkowa miejsca postojowego 250cm, szer. zewnętrzna urządzenia 280cm;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3/6kW.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546.500,00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2: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264.900,00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na 22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60% płatność na 5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90% płatność do 21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100% płatność do 21 dni po pierwszym badaniu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24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7-9 tygodni od dnia dostawy, w zależności od warunków panujących na budowie.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 oraz przeprowadzeniem szkolenia Zamawiającego. Koszty badań UDT obciążają Zamawiającego.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stałych barier budowlanych zabezpieczających dostęp do zagłębienia w przypadku braku ścian (jeśli konieczne / zgodnie z naszymi wytycznymi), wykonanie przepustów przez ściany działowe o średnicy fi 100mm dla przeprowadzenia przewodów elektrycznych i hydraulicznych (jeśli konieczne / zgodnie z naszymi wytycznymi), wypełnianie szczelin, ewentualnych robót w budynku wynikających z zaleceń UDT, wyposażenia w instalację przeciw pożarową, wentylacyjną, elektryczną obiektu, sygnalizacyjną, oznaczeń pionowych i poziomych bezpieczeństwa i organizacji ruchu na terenie obiektu (w tym numeracja miejsc postojowych) oraz pomiarów elektrycznych linii zasilających (wykonywanych przez budowę).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 o odpowiedniej nośności, pozostające w stanie suchym i nie pylące. Wszelkie roboty budowlane, instalacyjne i wykończeniowe oraz sprzątanie należy zakończyć przed przystąpieniem do montażu urządzeń parkingowych. Na czas montażu należy zapewnić dostęp do energii elektrycznej w bliskim sąsiedztwie montażu. Wymagane jest oświetlenie zgodne z normą DIN 67528 „Oświetlenie miejsc parkingowych”.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Zamawiający powinien umożliwić dojazd samochodem ciężarowym o długości 20m do miejsca składowania, rozładować oraz przetransportować elementy urządzeń na miejsce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 Zamawiający zobowiązany jest w zakresie zasilania elektrycznego urządzeń NK38 i NK41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hydraulicznego 6kW,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od zabezpieczeń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ustalonym z dostawcą urządzeń;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elektrycznej;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Instalacji uziemiającej do każdego prawego/lewego słupa urządzenia.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 zakończeniu montażu Zamawiający powinien oznakować krawędzie zagłębienia żółto-czarnym pasem ostrzegawczym zgodnie z ISO 3864 dla oznaczenia obszaru niebezpiecznego.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36/60 miesięcznej gwarancji jakości na sprawne działanie urządzeń pod warunkiem zawarcia z dostawcą, w terminie do 5 miesięcy od badania wstępnego UDT, i utrzymania w mocy umowy konserwacyjno-serwisowej,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aggfzgr91iqgndatrdtx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2026-10-30T10:28:00.429Z</dcterms:created>
  <dcterms:modified xsi:type="dcterms:W3CDTF">2026-10-30T10:28:00.429Z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