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rPr>
          <w:sz w:val="16"/>
          <w:szCs w:val="16"/>
          <w:rFonts w:ascii="Verdana" w:cs="Verdana" w:eastAsia="Verdana" w:hAnsi="Verdana"/>
        </w:rPr>
        <w:t xml:space="preserve">Kraków, dnia 30.10.2026r.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Szanowny Pan</w:t>
      </w:r>
    </w:p>
    <w:p>
      <w:pPr>
        <w:spacing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Jan Przykładowy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Kierownik Budowy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tel. +48 500 000 000</w:t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e-mail: </w:t>
      </w:r>
      <w:r>
        <w:rPr>
          <w:u w:val="single"/>
          <w:color w:val="0000FF"/>
          <w:sz w:val="16"/>
          <w:szCs w:val="16"/>
          <w:rFonts w:ascii="Verdana" w:cs="Verdana" w:eastAsia="Verdana" w:hAnsi="Verdana"/>
        </w:rPr>
        <w:t xml:space="preserve">jan.przykladowy@example.com</w:t>
      </w: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Przykładowy Inwestor Sp. z o.o.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ul. Testowa 1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00-001 Warszawa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NIP: 000-000-00-00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i/>
          <w:iCs/>
          <w:u w:val="single"/>
          <w:sz w:val="16"/>
          <w:szCs w:val="16"/>
          <w:rFonts w:ascii="Verdana" w:cs="Verdana" w:eastAsia="Verdana" w:hAnsi="Verdana"/>
        </w:rPr>
        <w:t xml:space="preserve">Oferta nr PRZYKLAD/INK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Szanowny Panie,</w:t>
      </w:r>
    </w:p>
    <w:p>
      <w:pPr>
        <w:spacing w:after="0" w:line="240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przedstawiamy naszą ofertę na dostawę i montaż 18 urządzeń służących do zależnego parkowania 36 pojazdów na inwestycję zlokalizowaną przy ul. Kwiatowa 24, Piastów.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Specyfikacja oferty:</w:t>
      </w:r>
    </w:p>
    <w:p>
      <w:pPr>
        <w:spacing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Platformy służące do zależnego parkowania pojazdów </w:t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NKPXLH</w:t>
      </w:r>
      <w:r>
        <w:rPr>
          <w:color w:val="3366CC"/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Dane techniczne: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Zagłębienie:</w:t>
      </w:r>
      <w:r>
        <w:rPr>
          <w:sz w:val="16"/>
          <w:szCs w:val="16"/>
          <w:rFonts w:ascii="Verdana" w:cs="Verdana" w:eastAsia="Verdana" w:hAnsi="Verdana"/>
        </w:rPr>
        <w:t xml:space="preserve"> brak;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prześwitu: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340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parkowanych pojazdów*: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▲-150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▼-170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Długość parkowanych pojazdów: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▲-500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▼-500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*parametry pojazdów dopuszczonych do wjazdu w obręb urządzeń są zależne od wysokości prześwitu dostępnego na danym miejscu w garażu. Możliwa jest inna konfiguracja wysokości podnoszenia platformy.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2.000</w:t>
      </w:r>
      <w:r>
        <w:rPr>
          <w:sz w:val="16"/>
          <w:szCs w:val="16"/>
          <w:rFonts w:ascii="Verdana" w:cs="Verdana" w:eastAsia="Verdana" w:hAnsi="Verdana"/>
        </w:rPr>
        <w:t xml:space="preserve">kg/miejsce;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antykorozyjne:</w:t>
      </w:r>
      <w:r>
        <w:rPr>
          <w:sz w:val="16"/>
          <w:szCs w:val="16"/>
          <w:rFonts w:ascii="Verdana" w:cs="Verdana" w:eastAsia="Verdana" w:hAnsi="Verdana"/>
        </w:rPr>
        <w:t xml:space="preserve"> platforma ocynkowana ogniowo, słupy malowane.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18 szt. –  </w:t>
      </w:r>
      <w:r>
        <w:rPr>
          <w:sz w:val="16"/>
          <w:szCs w:val="16"/>
          <w:rFonts w:ascii="Verdana" w:cs="Verdana" w:eastAsia="Verdana" w:hAnsi="Verdana"/>
        </w:rPr>
        <w:t xml:space="preserve">NKPXLH</w:t>
      </w:r>
      <w:r>
        <w:rPr>
          <w:sz w:val="16"/>
          <w:szCs w:val="16"/>
          <w:rFonts w:ascii="Verdana" w:cs="Verdana" w:eastAsia="Verdana" w:hAnsi="Verdana"/>
        </w:rPr>
        <w:t xml:space="preserve"> szer. użytkowa miejsca postojowego 250cm;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 szt. –  </w:t>
      </w:r>
      <w:r>
        <w:rPr>
          <w:sz w:val="16"/>
          <w:szCs w:val="16"/>
          <w:rFonts w:ascii="Verdana" w:cs="Verdana" w:eastAsia="Verdana" w:hAnsi="Verdana"/>
        </w:rPr>
        <w:t xml:space="preserve">agregat</w:t>
      </w:r>
      <w:r>
        <w:rPr>
          <w:sz w:val="16"/>
          <w:szCs w:val="16"/>
          <w:rFonts w:ascii="Verdana" w:cs="Verdana" w:eastAsia="Verdana" w:hAnsi="Verdana"/>
        </w:rPr>
        <w:t xml:space="preserve"> hydrauliczny 400V, 50Hz, 3kW.</w:t>
      </w:r>
    </w:p>
    <w:p>
      <w:pPr>
        <w:spacing w:before="6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Urządzenia wyposażone są w kluczykowe sterownie zamontowane na słupach/ścianach przed rzędem urządzeń.</w:t>
      </w:r>
    </w:p>
    <w:p>
      <w:pPr>
        <w:tabs>
          <w:tab w:val="left" w:pos="284"/>
          <w:tab w:val="right" w:pos="9638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Wartość zamówienia netto.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378.900,00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Warunki płatności: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30% zaliczka płatna na 24 tygodnie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60% płatność na 7 dni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90% płatność do 14 dni po dostawie,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Do 100% płatność do 21 dni po badaniu wstępnym UDT.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Koszty ogólne budowy – 0%.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Oferta ważna jest 2 miesiące.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Dostawa i montaż.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Pierwsza dostawa nastąpi nie wcześniej niż po ok. 22 tygodniach od zawarcia umowy, w zależności od aktualnie realizowanych zleceń.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Przewidywany czas montażu 3-4 tygodni od dnia dostawy, w zależności od warunków panujących na budowie.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Zakres oferty.</w:t>
      </w:r>
    </w:p>
    <w:p>
      <w:pPr>
        <w:spacing w:before="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Dostawa na plac budowy urządzeń parkingowych, montaż, rozruch i doprowadzenie do badań ruchowych poprzedzających wydanie Decyzji o Dopuszczeniu do Użytkowania wraz z kompletem dokumentów określonych przepisami UDT. Koszty badań UDT obciążają Zamawiającego.</w:t>
      </w:r>
    </w:p>
    <w:p>
      <w:pPr>
        <w:spacing w:before="120"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Poza ofertą pozostają:</w:t>
      </w:r>
      <w:r>
        <w:rPr>
          <w:sz w:val="16"/>
          <w:szCs w:val="16"/>
          <w:rFonts w:ascii="Verdana" w:cs="Verdana" w:eastAsia="Verdana" w:hAnsi="Verdana"/>
        </w:rPr>
        <w:t xml:space="preserve"> koszty przeprowadzenia badania przez UDT, wszelkie roboty budowlano-wykończeniowe obiektu, wykonanie barier stałych zabezpieczających dostęp pod platformy z tyłu lub z boku przy ciągach pieszo-jezdnych w przypadku braku ścian (kiedy konieczne, zgodnie z naszymi wytycznymi), wykonanie przepustów przez ściany działowe o średnicy fi 100mm dla przeprowadzenia przewodów elektrycznych i hydraulicznych (kiedy konieczne, zgodnie z naszymi wytycznymi), napraw tynkarsko-malarskich po montażu urządzeń sterowniczych oraz mocowań konstrukcyjnych, wyposażenia w instalację przeciw-pożarową, wentylacyjną, elektryczną obiektu, sygnalizacyjną, oznaczeń pionowych i poziomych organizacji ruchu na terenie parkingu.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Warunki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Wszelkie elementy konstrukcyjne garażu powinny być wykonane dokładnie i zgodnie z dokumentacją projektową oraz naszymi wytycznymi. Powierzchnie podłoży wykonane z betonu C20/25, pozostające w stanie suchym i nie pylące. Wszelkie roboty budowlane, instalacyjne i wykończeniowe oraz sprzątanie należy zakończyć przed przystąpieniem do montażu urządzeń parkingowych. Jeśli to konieczne należy wykonać przepusty przez ścianki oddzielające platformy parkingowe zgodnie z wytycznymi dostawcy urządzeń. Zamawiający powinien umożliwić dojazd samochodem ciężarowym o długości 18m do miejsca składowania, rozładować oraz przetransportować elementy urządzeń na miejsce montażu oraz zapewnić dostęp do energii elektrycznej w obrębie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Ponadto, Zamawiający zobowiązany jest w zakresie zasilania elektrycznego urządzeń parkingowych do wykonania: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Zabezpieczenia głównego zwłocznego 3x16A dla każdego agregatu 3kW, 400V, 50Hz;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Zasilania do rozłącznika głównego przewodem 3Ph+N+PE 5x2.5mm2;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Rozłącznika głównego blokowanego 16A 3Ph+1N – w miejscu ustalonych z dostawcą platform;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przewodu 5x2,5 mm2 od rozłącznika do skrzyni sterowniczej;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instalacji uziemiającej do każdego prawego/lewego słupa urządzenia.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Gwarancja.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Producent udziela 36 miesięcznej gwarancji jakości na sprawne działanie urządzeń pod warunkiem podpisania z dostawcą i utrzymania w mocy umowy konserwacyjno-serwisowej, umożliwiającej nam stałą opiekę oraz nadzór nad stanem technicznym platform. W ramach umowy serwisowej dokonywane są 2 przeglądy serwisowe w ciągu roku.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Gwarancja nie obejmuje zużycia części eksploatacyjnych, uszkodzeń wynikających z eksploatacji niezgodnej z instrukcją użytkowania, agresywnego środowiska, zbyt dużej wilgotności, uszkodzeń powstałych w wyniku zdarzeń losowych (np. pożar, zalanie). Po upływie okresu gwarancji świadczymy serwis pogwarancyjny.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Wyrażamy przekonanie iż przedstawiona oferta zyska Państwa aprobatę i przyczyni się do dalszej owocnej współpracy.</w:t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 poważaniem,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arch. Iwo Nowina Konopka</w:t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Prezes Zarządu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134" w:header="425" w:footer="425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40"/>
      <w:jc w:val="both"/>
    </w:pPr>
    <w:r>
      <w:rPr>
        <w:color w:val="444444"/>
        <w:sz w:val="12"/>
        <w:szCs w:val="12"/>
        <w:rFonts w:ascii="Verdana" w:cs="Verdana" w:eastAsia="Verdana" w:hAnsi="Verdana"/>
      </w:rPr>
      <w:t xml:space="preserve">Klauzula poufności. Klient zobowiązuje się do zachowania najwyższej poufności względem zawartości i przedmiotu niniejszej oferty i załączonej dokumentacji. Zobowiązuje się również do nie rozpowszechniania jej treści ani do nie używania jej w celach innych niż ocena tej oferty.</w:t>
    </w:r>
  </w:p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line="240"/>
          </w:pPr>
          <w:r>
            <w:rPr>
              <w:sz w:val="16"/>
              <w:szCs w:val="16"/>
              <w:rFonts w:ascii="Verdana" w:cs="Verdana" w:eastAsia="Verdana" w:hAnsi="Verdana"/>
            </w:rPr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drawing>
              <wp:inline distT="0" distB="0" distL="0" distR="0">
                <wp:extent cx="220980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98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PSP NOWINAKONOPKA TECHNOLOGIES SP. Z O.O. S.K.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31-123 Kraków, ul. Krupnicza 6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+48 12 4212735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601 289 709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  <w:rPr>
        <w:color w:val="3366C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Verdana" w:cs="Verdana" w:eastAsia="Verdana" w:hAnsi="Verdan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bfbjs9wsznpbzlqrtisri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Kalkulator NK38</dc:creator>
  <cp:lastModifiedBy>Un-named</cp:lastModifiedBy>
  <cp:revision>1</cp:revision>
  <dcterms:created xsi:type="dcterms:W3CDTF">2026-10-30T11:44:46.438Z</dcterms:created>
  <dcterms:modified xsi:type="dcterms:W3CDTF">2026-10-30T11:44:46.438Z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