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header+xml" PartName="/word/header2.xml"/>
  <Override ContentType="application/vnd.openxmlformats-officedocument.wordprocessingml.footer+xml" PartName="/word/footer1.xml"/>
  <Override ContentType="application/vnd.openxmlformats-officedocument.wordprocessingml.footer+xml" PartName="/word/footer2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0" w:after="0" w:line="240"/>
      </w:pPr>
      <w:r>
        <w:rPr>
          <w:sz w:val="16"/>
          <w:szCs w:val="16"/>
          <w:rFonts w:ascii="Verdana" w:cs="Verdana" w:eastAsia="Verdana" w:hAnsi="Verdana"/>
        </w:rPr>
        <w:t xml:space="preserve">Kraków, dnia 22.10.2026r.</w:t>
      </w:r>
    </w:p>
    <w:p>
      <w:pPr>
        <w:spacing w:after="0" w:line="240" w:before="0"/>
      </w:pPr>
      <w:r>
        <w:rPr>
          <w:sz w:val="16"/>
          <w:szCs w:val="16"/>
          <w:rFonts w:ascii="Verdana" w:cs="Verdana" w:eastAsia="Verdana" w:hAnsi="Verdana"/>
        </w:rPr>
      </w:r>
    </w:p>
    <w:p>
      <w:pPr>
        <w:spacing w:after="0" w:line="240" w:before="0"/>
      </w:pPr>
      <w:r>
        <w:rPr>
          <w:sz w:val="16"/>
          <w:szCs w:val="16"/>
          <w:rFonts w:ascii="Verdana" w:cs="Verdana" w:eastAsia="Verdana" w:hAnsi="Verdana"/>
        </w:rPr>
      </w:r>
    </w:p>
    <w:p>
      <w:pPr>
        <w:spacing w:after="0" w:line="240"/>
      </w:pPr>
      <w:r>
        <w:rPr>
          <w:b w:val="false"/>
          <w:bCs w:val="false"/>
          <w:sz w:val="16"/>
          <w:szCs w:val="16"/>
          <w:rFonts w:ascii="Verdana" w:cs="Verdana" w:eastAsia="Verdana" w:hAnsi="Verdana"/>
        </w:rPr>
        <w:t xml:space="preserve">Szanowny Pan</w:t>
      </w:r>
    </w:p>
    <w:p>
      <w:pPr>
        <w:spacing w:after="0" w:line="240"/>
      </w:pPr>
      <w:r>
        <w:rPr>
          <w:b/>
          <w:bCs/>
          <w:sz w:val="16"/>
          <w:szCs w:val="16"/>
          <w:rFonts w:ascii="Verdana" w:cs="Verdana" w:eastAsia="Verdana" w:hAnsi="Verdana"/>
        </w:rPr>
        <w:t xml:space="preserve">Jan Przykładowy</w:t>
      </w:r>
    </w:p>
    <w:p>
      <w:pPr>
        <w:spacing w:after="0" w:line="240"/>
      </w:pPr>
      <w:r>
        <w:rPr>
          <w:b w:val="false"/>
          <w:bCs w:val="false"/>
          <w:sz w:val="16"/>
          <w:szCs w:val="16"/>
          <w:rFonts w:ascii="Verdana" w:cs="Verdana" w:eastAsia="Verdana" w:hAnsi="Verdana"/>
        </w:rPr>
        <w:t xml:space="preserve">Kierownik Budowy</w:t>
      </w:r>
    </w:p>
    <w:p>
      <w:pPr>
        <w:spacing w:after="0" w:line="240"/>
      </w:pPr>
      <w:r>
        <w:rPr>
          <w:b w:val="false"/>
          <w:bCs w:val="false"/>
          <w:sz w:val="16"/>
          <w:szCs w:val="16"/>
          <w:rFonts w:ascii="Verdana" w:cs="Verdana" w:eastAsia="Verdana" w:hAnsi="Verdana"/>
        </w:rPr>
        <w:t xml:space="preserve">tel. +48 500 000 000</w:t>
      </w:r>
    </w:p>
    <w:p>
      <w:pPr>
        <w:spacing w:after="0" w:line="240"/>
      </w:pPr>
      <w:r>
        <w:rPr>
          <w:sz w:val="16"/>
          <w:szCs w:val="16"/>
          <w:rFonts w:ascii="Verdana" w:cs="Verdana" w:eastAsia="Verdana" w:hAnsi="Verdana"/>
        </w:rPr>
        <w:t xml:space="preserve">e-mail: </w:t>
      </w:r>
      <w:r>
        <w:rPr>
          <w:u w:val="single"/>
          <w:color w:val="0000FF"/>
          <w:sz w:val="16"/>
          <w:szCs w:val="16"/>
          <w:rFonts w:ascii="Verdana" w:cs="Verdana" w:eastAsia="Verdana" w:hAnsi="Verdana"/>
        </w:rPr>
        <w:t xml:space="preserve">jan.przykladowy@example.com</w:t>
      </w:r>
      <w:r>
        <w:rPr>
          <w:sz w:val="16"/>
          <w:szCs w:val="16"/>
          <w:rFonts w:ascii="Verdana" w:cs="Verdana" w:eastAsia="Verdana" w:hAnsi="Verdana"/>
        </w:rPr>
      </w:r>
    </w:p>
    <w:p>
      <w:pPr>
        <w:spacing w:after="0" w:line="240" w:before="0"/>
      </w:pPr>
      <w:r>
        <w:rPr>
          <w:sz w:val="16"/>
          <w:szCs w:val="16"/>
          <w:rFonts w:ascii="Verdana" w:cs="Verdana" w:eastAsia="Verdana" w:hAnsi="Verdana"/>
        </w:rPr>
      </w:r>
    </w:p>
    <w:p>
      <w:pPr>
        <w:spacing w:after="0" w:line="240"/>
      </w:pPr>
      <w:r>
        <w:rPr>
          <w:b/>
          <w:bCs/>
          <w:u w:val="single"/>
          <w:sz w:val="16"/>
          <w:szCs w:val="16"/>
          <w:rFonts w:ascii="Verdana" w:cs="Verdana" w:eastAsia="Verdana" w:hAnsi="Verdana"/>
        </w:rPr>
        <w:t xml:space="preserve">Przykładowy Inwestor Sp. z o.o.</w:t>
      </w:r>
    </w:p>
    <w:p>
      <w:pPr>
        <w:spacing w:after="0" w:line="240"/>
      </w:pPr>
      <w:r>
        <w:rPr>
          <w:b w:val="false"/>
          <w:bCs w:val="false"/>
          <w:sz w:val="16"/>
          <w:szCs w:val="16"/>
          <w:rFonts w:ascii="Verdana" w:cs="Verdana" w:eastAsia="Verdana" w:hAnsi="Verdana"/>
        </w:rPr>
        <w:t xml:space="preserve">ul. Testowa 1</w:t>
      </w:r>
    </w:p>
    <w:p>
      <w:pPr>
        <w:spacing w:after="0" w:line="240"/>
      </w:pPr>
      <w:r>
        <w:rPr>
          <w:b w:val="false"/>
          <w:bCs w:val="false"/>
          <w:sz w:val="16"/>
          <w:szCs w:val="16"/>
          <w:rFonts w:ascii="Verdana" w:cs="Verdana" w:eastAsia="Verdana" w:hAnsi="Verdana"/>
        </w:rPr>
        <w:t xml:space="preserve">00-001 Warszawa</w:t>
      </w:r>
    </w:p>
    <w:p>
      <w:pPr>
        <w:spacing w:after="0" w:line="240"/>
      </w:pPr>
      <w:r>
        <w:rPr>
          <w:b w:val="false"/>
          <w:bCs w:val="false"/>
          <w:sz w:val="16"/>
          <w:szCs w:val="16"/>
          <w:rFonts w:ascii="Verdana" w:cs="Verdana" w:eastAsia="Verdana" w:hAnsi="Verdana"/>
        </w:rPr>
        <w:t xml:space="preserve">NIP: 000-000-00-00</w:t>
      </w:r>
    </w:p>
    <w:p>
      <w:pPr>
        <w:spacing w:after="0" w:line="240" w:before="0"/>
      </w:pPr>
      <w:r>
        <w:rPr>
          <w:sz w:val="16"/>
          <w:szCs w:val="16"/>
          <w:rFonts w:ascii="Verdana" w:cs="Verdana" w:eastAsia="Verdana" w:hAnsi="Verdana"/>
        </w:rPr>
      </w:r>
    </w:p>
    <w:p>
      <w:pPr>
        <w:spacing w:after="0" w:line="240" w:before="0"/>
      </w:pPr>
      <w:r>
        <w:rPr>
          <w:sz w:val="16"/>
          <w:szCs w:val="16"/>
          <w:rFonts w:ascii="Verdana" w:cs="Verdana" w:eastAsia="Verdana" w:hAnsi="Verdana"/>
        </w:rPr>
      </w:r>
    </w:p>
    <w:p>
      <w:pPr>
        <w:spacing w:after="0" w:line="240"/>
      </w:pPr>
      <w:r>
        <w:rPr>
          <w:b/>
          <w:bCs/>
          <w:i/>
          <w:iCs/>
          <w:u w:val="single"/>
          <w:sz w:val="16"/>
          <w:szCs w:val="16"/>
          <w:rFonts w:ascii="Verdana" w:cs="Verdana" w:eastAsia="Verdana" w:hAnsi="Verdana"/>
        </w:rPr>
        <w:t xml:space="preserve">Oferta nr PRZYKLAD/INK</w:t>
      </w:r>
    </w:p>
    <w:p>
      <w:pPr>
        <w:spacing w:after="0" w:line="240" w:before="0"/>
      </w:pPr>
      <w:r>
        <w:rPr>
          <w:sz w:val="16"/>
          <w:szCs w:val="16"/>
          <w:rFonts w:ascii="Verdana" w:cs="Verdana" w:eastAsia="Verdana" w:hAnsi="Verdana"/>
        </w:rPr>
      </w:r>
    </w:p>
    <w:p>
      <w:pPr>
        <w:spacing w:after="0" w:line="240"/>
      </w:pPr>
      <w:r>
        <w:rPr>
          <w:sz w:val="16"/>
          <w:szCs w:val="16"/>
          <w:rFonts w:ascii="Verdana" w:cs="Verdana" w:eastAsia="Verdana" w:hAnsi="Verdana"/>
        </w:rPr>
        <w:t xml:space="preserve">Szanowny Panie,</w:t>
      </w:r>
    </w:p>
    <w:p>
      <w:pPr>
        <w:spacing w:after="0" w:line="240"/>
        <w:jc w:val="both"/>
      </w:pPr>
      <w:r>
        <w:rPr>
          <w:sz w:val="16"/>
          <w:szCs w:val="16"/>
          <w:rFonts w:ascii="Verdana" w:cs="Verdana" w:eastAsia="Verdana" w:hAnsi="Verdana"/>
        </w:rPr>
        <w:t xml:space="preserve">w związku z otrzymanym zapytaniem przedstawiamy naszą ofertę na dostawę i montaż 20 platform służących do niezależnego parkowania 80 pojazdów w garażu inwestycji ul. Polna 5, Katowice.</w:t>
      </w:r>
    </w:p>
    <w:p>
      <w:pPr>
        <w:spacing w:after="0" w:line="240" w:before="0"/>
      </w:pPr>
      <w:r>
        <w:rPr>
          <w:sz w:val="16"/>
          <w:szCs w:val="16"/>
          <w:rFonts w:ascii="Verdana" w:cs="Verdana" w:eastAsia="Verdana" w:hAnsi="Verdana"/>
        </w:rPr>
      </w:r>
    </w:p>
    <w:p>
      <w:pPr>
        <w:tabs>
          <w:tab w:val="left" w:pos="284"/>
        </w:tabs>
        <w:spacing w:before="200" w:after="20" w:line="240"/>
        <w:ind w:left="284" w:hanging="284"/>
      </w:pPr>
      <w:r>
        <w:rPr>
          <w:b/>
          <w:bCs/>
          <w:sz w:val="16"/>
          <w:szCs w:val="16"/>
          <w:rFonts w:ascii="Verdana" w:cs="Verdana" w:eastAsia="Verdana" w:hAnsi="Verdana"/>
        </w:rPr>
        <w:t xml:space="preserve">1.</w:t>
      </w:r>
      <w:r>
        <w:tab/>
      </w:r>
      <w:r>
        <w:rPr>
          <w:b/>
          <w:bCs/>
          <w:sz w:val="16"/>
          <w:szCs w:val="16"/>
          <w:rFonts w:ascii="Verdana" w:cs="Verdana" w:eastAsia="Verdana" w:hAnsi="Verdana"/>
        </w:rPr>
        <w:t xml:space="preserve">Specyfikacja oferty:</w:t>
      </w:r>
    </w:p>
    <w:p>
      <w:pPr>
        <w:spacing w:after="0" w:line="240"/>
        <w:ind w:left="284"/>
        <w:jc w:val="both"/>
      </w:pPr>
      <w:r>
        <w:rPr>
          <w:b/>
          <w:bCs/>
          <w:color w:val="3366CC"/>
          <w:sz w:val="16"/>
          <w:szCs w:val="16"/>
          <w:rFonts w:ascii="Verdana" w:cs="Verdana" w:eastAsia="Verdana" w:hAnsi="Verdana"/>
        </w:rPr>
        <w:t xml:space="preserve">Pozycja 1:</w:t>
      </w:r>
      <w:r>
        <w:rPr>
          <w:color w:val="3366CC"/>
          <w:sz w:val="16"/>
          <w:szCs w:val="16"/>
          <w:rFonts w:ascii="Verdana" w:cs="Verdana" w:eastAsia="Verdana" w:hAnsi="Verdana"/>
        </w:rPr>
        <w:t xml:space="preserve"> Urządzenia </w:t>
      </w:r>
      <w:r>
        <w:rPr>
          <w:b/>
          <w:bCs/>
          <w:color w:val="3366CC"/>
          <w:sz w:val="16"/>
          <w:szCs w:val="16"/>
          <w:rFonts w:ascii="Verdana" w:cs="Verdana" w:eastAsia="Verdana" w:hAnsi="Verdana"/>
        </w:rPr>
        <w:t xml:space="preserve">NK38</w:t>
      </w:r>
      <w:r>
        <w:rPr>
          <w:color w:val="3366CC"/>
          <w:sz w:val="16"/>
          <w:szCs w:val="16"/>
          <w:rFonts w:ascii="Verdana" w:cs="Verdana" w:eastAsia="Verdana" w:hAnsi="Verdana"/>
        </w:rPr>
        <w:t xml:space="preserve"> do niezależnego parkowania pojazdów (z zagłębieniem)</w:t>
      </w:r>
    </w:p>
    <w:p>
      <w:pPr>
        <w:spacing w:after="0" w:line="240"/>
        <w:ind w:left="284"/>
        <w:jc w:val="both"/>
      </w:pPr>
      <w:r>
        <w:rPr>
          <w:u w:val="single"/>
          <w:sz w:val="16"/>
          <w:szCs w:val="16"/>
          <w:rFonts w:ascii="Verdana" w:cs="Verdana" w:eastAsia="Verdana" w:hAnsi="Verdana"/>
        </w:rPr>
        <w:t xml:space="preserve">Dane techniczne:</w:t>
      </w:r>
    </w:p>
    <w:p>
      <w:pPr>
        <w:spacing w:after="0" w:line="240"/>
        <w:ind w:left="284"/>
        <w:jc w:val="both"/>
      </w:pPr>
      <w:r>
        <w:rPr>
          <w:i/>
          <w:iCs/>
          <w:sz w:val="16"/>
          <w:szCs w:val="16"/>
          <w:rFonts w:ascii="Verdana" w:cs="Verdana" w:eastAsia="Verdana" w:hAnsi="Verdana"/>
        </w:rPr>
        <w:t xml:space="preserve">Zagłębienie:</w:t>
      </w:r>
      <w:r>
        <w:rPr>
          <w:sz w:val="16"/>
          <w:szCs w:val="16"/>
          <w:rFonts w:ascii="Verdana" w:cs="Verdana" w:eastAsia="Verdana" w:hAnsi="Verdana"/>
        </w:rPr>
        <w:t xml:space="preserve"> wysokość H</w:t>
      </w:r>
      <w:r>
        <w:rPr>
          <w:b/>
          <w:bCs/>
          <w:sz w:val="16"/>
          <w:szCs w:val="16"/>
          <w:rFonts w:ascii="Verdana" w:cs="Verdana" w:eastAsia="Verdana" w:hAnsi="Verdana"/>
        </w:rPr>
        <w:t xml:space="preserve">1-200,</w:t>
      </w:r>
      <w:r>
        <w:rPr>
          <w:sz w:val="16"/>
          <w:szCs w:val="16"/>
          <w:rFonts w:ascii="Verdana" w:cs="Verdana" w:eastAsia="Verdana" w:hAnsi="Verdana"/>
        </w:rPr>
        <w:t xml:space="preserve"> H</w:t>
      </w:r>
      <w:r>
        <w:rPr>
          <w:b/>
          <w:bCs/>
          <w:sz w:val="16"/>
          <w:szCs w:val="16"/>
          <w:rFonts w:ascii="Verdana" w:cs="Verdana" w:eastAsia="Verdana" w:hAnsi="Verdana"/>
        </w:rPr>
        <w:t xml:space="preserve">2-205</w:t>
      </w:r>
      <w:r>
        <w:rPr>
          <w:sz w:val="16"/>
          <w:szCs w:val="16"/>
          <w:rFonts w:ascii="Verdana" w:cs="Verdana" w:eastAsia="Verdana" w:hAnsi="Verdana"/>
        </w:rPr>
        <w:t xml:space="preserve">cm; długość </w:t>
      </w:r>
      <w:r>
        <w:rPr>
          <w:b/>
          <w:bCs/>
          <w:sz w:val="16"/>
          <w:szCs w:val="16"/>
          <w:rFonts w:ascii="Verdana" w:cs="Verdana" w:eastAsia="Verdana" w:hAnsi="Verdana"/>
        </w:rPr>
        <w:t xml:space="preserve">540</w:t>
      </w:r>
      <w:r>
        <w:rPr>
          <w:sz w:val="16"/>
          <w:szCs w:val="16"/>
          <w:rFonts w:ascii="Verdana" w:cs="Verdana" w:eastAsia="Verdana" w:hAnsi="Verdana"/>
        </w:rPr>
        <w:t xml:space="preserve">cm;</w:t>
      </w:r>
    </w:p>
    <w:p>
      <w:pPr>
        <w:spacing w:after="0" w:line="240"/>
        <w:ind w:left="284"/>
        <w:jc w:val="both"/>
      </w:pPr>
      <w:r>
        <w:rPr>
          <w:i/>
          <w:iCs/>
          <w:sz w:val="16"/>
          <w:szCs w:val="16"/>
          <w:rFonts w:ascii="Verdana" w:cs="Verdana" w:eastAsia="Verdana" w:hAnsi="Verdana"/>
        </w:rPr>
        <w:t xml:space="preserve">Prześwit między-kondygnacyjny:</w:t>
      </w:r>
      <w:r>
        <w:rPr>
          <w:sz w:val="16"/>
          <w:szCs w:val="16"/>
          <w:rFonts w:ascii="Verdana" w:cs="Verdana" w:eastAsia="Verdana" w:hAnsi="Verdana"/>
        </w:rPr>
        <w:t xml:space="preserve"> min. </w:t>
      </w:r>
      <w:r>
        <w:rPr>
          <w:b/>
          <w:bCs/>
          <w:sz w:val="16"/>
          <w:szCs w:val="16"/>
          <w:rFonts w:ascii="Verdana" w:cs="Verdana" w:eastAsia="Verdana" w:hAnsi="Verdana"/>
        </w:rPr>
        <w:t xml:space="preserve">390</w:t>
      </w:r>
      <w:r>
        <w:rPr>
          <w:sz w:val="16"/>
          <w:szCs w:val="16"/>
          <w:rFonts w:ascii="Verdana" w:cs="Verdana" w:eastAsia="Verdana" w:hAnsi="Verdana"/>
        </w:rPr>
        <w:t xml:space="preserve">cm;</w:t>
      </w:r>
    </w:p>
    <w:p>
      <w:pPr>
        <w:spacing w:after="0" w:line="240"/>
        <w:ind w:left="284"/>
        <w:jc w:val="both"/>
      </w:pPr>
      <w:r>
        <w:rPr>
          <w:i/>
          <w:iCs/>
          <w:sz w:val="16"/>
          <w:szCs w:val="16"/>
          <w:rFonts w:ascii="Verdana" w:cs="Verdana" w:eastAsia="Verdana" w:hAnsi="Verdana"/>
        </w:rPr>
        <w:t xml:space="preserve">Wysokość parkowanych pojazdów*:</w:t>
      </w:r>
      <w:r>
        <w:rPr>
          <w:sz w:val="16"/>
          <w:szCs w:val="16"/>
          <w:rFonts w:ascii="Verdana" w:cs="Verdana" w:eastAsia="Verdana" w:hAnsi="Verdana"/>
        </w:rPr>
        <w:t xml:space="preserve"> </w:t>
      </w:r>
      <w:r>
        <w:rPr>
          <w:b/>
          <w:bCs/>
          <w:sz w:val="16"/>
          <w:szCs w:val="16"/>
          <w:rFonts w:ascii="Verdana" w:cs="Verdana" w:eastAsia="Verdana" w:hAnsi="Verdana"/>
        </w:rPr>
        <w:t xml:space="preserve">▲-185</w:t>
      </w:r>
      <w:r>
        <w:rPr>
          <w:sz w:val="16"/>
          <w:szCs w:val="16"/>
          <w:rFonts w:ascii="Verdana" w:cs="Verdana" w:eastAsia="Verdana" w:hAnsi="Verdana"/>
        </w:rPr>
        <w:t xml:space="preserve">cm, </w:t>
      </w:r>
      <w:r>
        <w:rPr>
          <w:b/>
          <w:bCs/>
          <w:sz w:val="16"/>
          <w:szCs w:val="16"/>
          <w:rFonts w:ascii="Verdana" w:cs="Verdana" w:eastAsia="Verdana" w:hAnsi="Verdana"/>
        </w:rPr>
        <w:t xml:space="preserve">▼-185</w:t>
      </w:r>
      <w:r>
        <w:rPr>
          <w:sz w:val="16"/>
          <w:szCs w:val="16"/>
          <w:rFonts w:ascii="Verdana" w:cs="Verdana" w:eastAsia="Verdana" w:hAnsi="Verdana"/>
        </w:rPr>
        <w:t xml:space="preserve">cm;</w:t>
      </w:r>
    </w:p>
    <w:p>
      <w:pPr>
        <w:spacing w:after="0" w:line="240"/>
        <w:ind w:left="284"/>
        <w:jc w:val="both"/>
      </w:pPr>
      <w:r>
        <w:rPr>
          <w:i/>
          <w:iCs/>
          <w:sz w:val="16"/>
          <w:szCs w:val="16"/>
          <w:rFonts w:ascii="Verdana" w:cs="Verdana" w:eastAsia="Verdana" w:hAnsi="Verdana"/>
        </w:rPr>
        <w:t xml:space="preserve">*w zależności od zastanych wysokości zagłębienia oraz prześwitu pomieścimy pojazdy w podanych wyżej wysokościach lub wyższych na górnej platformie jeśli prześwit będzie miejscowo na to pozwalał. Prowadzone górą instalacje mogą znacząco prześwit ograniczyć!</w:t>
      </w:r>
    </w:p>
    <w:p>
      <w:pPr>
        <w:spacing w:after="0" w:line="240"/>
        <w:ind w:left="284"/>
        <w:jc w:val="both"/>
      </w:pPr>
      <w:r>
        <w:rPr>
          <w:i/>
          <w:iCs/>
          <w:sz w:val="16"/>
          <w:szCs w:val="16"/>
          <w:rFonts w:ascii="Verdana" w:cs="Verdana" w:eastAsia="Verdana" w:hAnsi="Verdana"/>
        </w:rPr>
        <w:t xml:space="preserve">Jeżeli prześwit w garażu będzie wyższy, automatycznie na górnej platformie będą mogły zaparkować odpowiednio wyższe samochody.</w:t>
      </w:r>
    </w:p>
    <w:p>
      <w:pPr>
        <w:spacing w:after="0" w:line="240"/>
        <w:ind w:left="284"/>
        <w:jc w:val="both"/>
      </w:pPr>
      <w:r>
        <w:rPr>
          <w:i/>
          <w:iCs/>
          <w:sz w:val="16"/>
          <w:szCs w:val="16"/>
          <w:rFonts w:ascii="Verdana" w:cs="Verdana" w:eastAsia="Verdana" w:hAnsi="Verdana"/>
        </w:rPr>
        <w:t xml:space="preserve">Obciążenie platformy:</w:t>
      </w:r>
      <w:r>
        <w:rPr>
          <w:sz w:val="16"/>
          <w:szCs w:val="16"/>
          <w:rFonts w:ascii="Verdana" w:cs="Verdana" w:eastAsia="Verdana" w:hAnsi="Verdana"/>
        </w:rPr>
        <w:t xml:space="preserve"> </w:t>
      </w:r>
      <w:r>
        <w:rPr>
          <w:b/>
          <w:bCs/>
          <w:sz w:val="16"/>
          <w:szCs w:val="16"/>
          <w:rFonts w:ascii="Verdana" w:cs="Verdana" w:eastAsia="Verdana" w:hAnsi="Verdana"/>
        </w:rPr>
        <w:t xml:space="preserve">2000</w:t>
      </w:r>
      <w:r>
        <w:rPr>
          <w:sz w:val="16"/>
          <w:szCs w:val="16"/>
          <w:rFonts w:ascii="Verdana" w:cs="Verdana" w:eastAsia="Verdana" w:hAnsi="Verdana"/>
        </w:rPr>
        <w:t xml:space="preserve">kg/miejsce postojowe, </w:t>
      </w:r>
      <w:r>
        <w:rPr>
          <w:b/>
          <w:bCs/>
          <w:sz w:val="16"/>
          <w:szCs w:val="16"/>
          <w:rFonts w:ascii="Verdana" w:cs="Verdana" w:eastAsia="Verdana" w:hAnsi="Verdana"/>
        </w:rPr>
        <w:t xml:space="preserve">500</w:t>
      </w:r>
      <w:r>
        <w:rPr>
          <w:sz w:val="16"/>
          <w:szCs w:val="16"/>
          <w:rFonts w:ascii="Verdana" w:cs="Verdana" w:eastAsia="Verdana" w:hAnsi="Verdana"/>
        </w:rPr>
        <w:t xml:space="preserve">kg/koło;</w:t>
      </w:r>
    </w:p>
    <w:p>
      <w:pPr>
        <w:spacing w:after="0" w:line="240"/>
        <w:ind w:left="284"/>
        <w:jc w:val="both"/>
      </w:pPr>
      <w:r>
        <w:rPr>
          <w:i/>
          <w:iCs/>
          <w:sz w:val="16"/>
          <w:szCs w:val="16"/>
          <w:rFonts w:ascii="Verdana" w:cs="Verdana" w:eastAsia="Verdana" w:hAnsi="Verdana"/>
        </w:rPr>
        <w:t xml:space="preserve">Zabezpieczenie antykorozyjne:</w:t>
      </w:r>
      <w:r>
        <w:rPr>
          <w:sz w:val="16"/>
          <w:szCs w:val="16"/>
          <w:rFonts w:ascii="Verdana" w:cs="Verdana" w:eastAsia="Verdana" w:hAnsi="Verdana"/>
        </w:rPr>
        <w:t xml:space="preserve"> urządzenie zabezpieczone ocynkiem ogniowym oraz częściowo lakierowane.</w:t>
      </w:r>
    </w:p>
    <w:p>
      <w:pPr>
        <w:spacing w:after="0" w:line="240"/>
        <w:ind w:left="284"/>
        <w:jc w:val="both"/>
      </w:pPr>
      <w:r>
        <w:rPr>
          <w:i/>
          <w:iCs/>
          <w:sz w:val="16"/>
          <w:szCs w:val="16"/>
          <w:rFonts w:ascii="Verdana" w:cs="Verdana" w:eastAsia="Verdana" w:hAnsi="Verdana"/>
        </w:rPr>
        <w:t xml:space="preserve">Zabezpieczenie po bokach:</w:t>
      </w:r>
      <w:r>
        <w:rPr>
          <w:sz w:val="16"/>
          <w:szCs w:val="16"/>
          <w:rFonts w:ascii="Verdana" w:cs="Verdana" w:eastAsia="Verdana" w:hAnsi="Verdana"/>
        </w:rPr>
        <w:t xml:space="preserve"> barierki systemowe lub profile zmniejszające prześwit poziomy mocowane do ścian wszędzie tam gdzie istnieje przerwa pomiędzy platformami bądź platformami i ścianami co najmniej </w:t>
      </w:r>
      <w:r>
        <w:rPr>
          <w:b/>
          <w:bCs/>
          <w:sz w:val="16"/>
          <w:szCs w:val="16"/>
          <w:rFonts w:ascii="Verdana" w:cs="Verdana" w:eastAsia="Verdana" w:hAnsi="Verdana"/>
        </w:rPr>
        <w:t xml:space="preserve">20</w:t>
      </w:r>
      <w:r>
        <w:rPr>
          <w:sz w:val="16"/>
          <w:szCs w:val="16"/>
          <w:rFonts w:ascii="Verdana" w:cs="Verdana" w:eastAsia="Verdana" w:hAnsi="Verdana"/>
        </w:rPr>
        <w:t xml:space="preserve">cm, zg. z PN.</w:t>
      </w:r>
    </w:p>
    <w:p>
      <w:pPr>
        <w:pStyle w:val="ListParagraph"/>
        <w:numPr>
          <w:ilvl w:val="0"/>
          <w:numId w:val="2"/>
        </w:numPr>
        <w:spacing w:before="40" w:after="0" w:line="240"/>
      </w:pPr>
      <w:r>
        <w:rPr>
          <w:b/>
          <w:bCs/>
          <w:sz w:val="16"/>
          <w:szCs w:val="16"/>
          <w:rFonts w:ascii="Verdana" w:cs="Verdana" w:eastAsia="Verdana" w:hAnsi="Verdana"/>
        </w:rPr>
        <w:t xml:space="preserve">20 szt. –  </w:t>
      </w:r>
      <w:r>
        <w:rPr>
          <w:b/>
          <w:bCs/>
          <w:sz w:val="16"/>
          <w:szCs w:val="16"/>
          <w:rFonts w:ascii="Verdana" w:cs="Verdana" w:eastAsia="Verdana" w:hAnsi="Verdana"/>
        </w:rPr>
        <w:t xml:space="preserve">NK38-D</w:t>
      </w:r>
      <w:r>
        <w:rPr>
          <w:sz w:val="16"/>
          <w:szCs w:val="16"/>
          <w:rFonts w:ascii="Verdana" w:cs="Verdana" w:eastAsia="Verdana" w:hAnsi="Verdana"/>
        </w:rPr>
        <w:t xml:space="preserve"> szer. użytkowa platformy </w:t>
      </w:r>
      <w:r>
        <w:rPr>
          <w:b/>
          <w:bCs/>
          <w:sz w:val="16"/>
          <w:szCs w:val="16"/>
          <w:rFonts w:ascii="Verdana" w:cs="Verdana" w:eastAsia="Verdana" w:hAnsi="Verdana"/>
        </w:rPr>
        <w:t xml:space="preserve">500</w:t>
      </w:r>
      <w:r>
        <w:rPr>
          <w:sz w:val="16"/>
          <w:szCs w:val="16"/>
          <w:rFonts w:ascii="Verdana" w:cs="Verdana" w:eastAsia="Verdana" w:hAnsi="Verdana"/>
        </w:rPr>
        <w:t xml:space="preserve">cm, szer. zewnętrzna urządzenia 530cm,</w:t>
      </w:r>
    </w:p>
    <w:p>
      <w:pPr>
        <w:pStyle w:val="ListParagraph"/>
        <w:numPr>
          <w:ilvl w:val="0"/>
          <w:numId w:val="2"/>
        </w:numPr>
        <w:spacing w:before="40" w:after="0" w:line="240"/>
      </w:pPr>
      <w:r>
        <w:rPr>
          <w:b/>
          <w:bCs/>
          <w:sz w:val="16"/>
          <w:szCs w:val="16"/>
          <w:rFonts w:ascii="Verdana" w:cs="Verdana" w:eastAsia="Verdana" w:hAnsi="Verdana"/>
        </w:rPr>
        <w:t xml:space="preserve">4 szt. –  </w:t>
      </w:r>
      <w:r>
        <w:rPr>
          <w:sz w:val="16"/>
          <w:szCs w:val="16"/>
          <w:rFonts w:ascii="Verdana" w:cs="Verdana" w:eastAsia="Verdana" w:hAnsi="Verdana"/>
        </w:rPr>
        <w:t xml:space="preserve">Agregat</w:t>
      </w:r>
      <w:r>
        <w:rPr>
          <w:sz w:val="16"/>
          <w:szCs w:val="16"/>
          <w:rFonts w:ascii="Verdana" w:cs="Verdana" w:eastAsia="Verdana" w:hAnsi="Verdana"/>
        </w:rPr>
        <w:t xml:space="preserve"> hydrauliczny 400V, 50Hz, 6kW.</w:t>
      </w:r>
    </w:p>
    <w:p>
      <w:pPr>
        <w:spacing w:before="120" w:after="0" w:line="240"/>
        <w:ind w:left="284"/>
        <w:jc w:val="both"/>
      </w:pPr>
      <w:r>
        <w:rPr>
          <w:b/>
          <w:bCs/>
          <w:color w:val="3366CC"/>
          <w:sz w:val="16"/>
          <w:szCs w:val="16"/>
          <w:rFonts w:ascii="Verdana" w:cs="Verdana" w:eastAsia="Verdana" w:hAnsi="Verdana"/>
        </w:rPr>
        <w:t xml:space="preserve">Opcja 1:</w:t>
      </w:r>
    </w:p>
    <w:p>
      <w:pPr>
        <w:spacing w:after="0" w:line="240"/>
        <w:ind w:left="284"/>
        <w:jc w:val="both"/>
      </w:pPr>
      <w:r>
        <w:rPr>
          <w:i/>
          <w:iCs/>
          <w:sz w:val="16"/>
          <w:szCs w:val="16"/>
          <w:rFonts w:ascii="Verdana" w:cs="Verdana" w:eastAsia="Verdana" w:hAnsi="Verdana"/>
        </w:rPr>
        <w:t xml:space="preserve">Obciążenie platformy:</w:t>
      </w:r>
      <w:r>
        <w:rPr>
          <w:sz w:val="16"/>
          <w:szCs w:val="16"/>
          <w:rFonts w:ascii="Verdana" w:cs="Verdana" w:eastAsia="Verdana" w:hAnsi="Verdana"/>
        </w:rPr>
        <w:t xml:space="preserve"> </w:t>
      </w:r>
      <w:r>
        <w:rPr>
          <w:b/>
          <w:bCs/>
          <w:sz w:val="16"/>
          <w:szCs w:val="16"/>
          <w:rFonts w:ascii="Verdana" w:cs="Verdana" w:eastAsia="Verdana" w:hAnsi="Verdana"/>
        </w:rPr>
        <w:t xml:space="preserve">2500</w:t>
      </w:r>
      <w:r>
        <w:rPr>
          <w:sz w:val="16"/>
          <w:szCs w:val="16"/>
          <w:rFonts w:ascii="Verdana" w:cs="Verdana" w:eastAsia="Verdana" w:hAnsi="Verdana"/>
        </w:rPr>
        <w:t xml:space="preserve">kg/miejsce postojowe, </w:t>
      </w:r>
      <w:r>
        <w:rPr>
          <w:b/>
          <w:bCs/>
          <w:sz w:val="16"/>
          <w:szCs w:val="16"/>
          <w:rFonts w:ascii="Verdana" w:cs="Verdana" w:eastAsia="Verdana" w:hAnsi="Verdana"/>
        </w:rPr>
        <w:t xml:space="preserve">625</w:t>
      </w:r>
      <w:r>
        <w:rPr>
          <w:sz w:val="16"/>
          <w:szCs w:val="16"/>
          <w:rFonts w:ascii="Verdana" w:cs="Verdana" w:eastAsia="Verdana" w:hAnsi="Verdana"/>
        </w:rPr>
        <w:t xml:space="preserve">kg/koło.</w:t>
      </w:r>
    </w:p>
    <w:p>
      <w:pPr>
        <w:tabs>
          <w:tab w:val="left" w:pos="284"/>
          <w:tab w:val="right" w:pos="9638"/>
        </w:tabs>
        <w:spacing w:before="200" w:after="20" w:line="240"/>
        <w:ind w:left="284" w:hanging="284"/>
      </w:pPr>
      <w:r>
        <w:rPr>
          <w:b/>
          <w:bCs/>
          <w:sz w:val="16"/>
          <w:szCs w:val="16"/>
          <w:rFonts w:ascii="Verdana" w:cs="Verdana" w:eastAsia="Verdana" w:hAnsi="Verdana"/>
        </w:rPr>
        <w:t xml:space="preserve">2.</w:t>
      </w:r>
      <w:r>
        <w:tab/>
      </w:r>
      <w:r>
        <w:rPr>
          <w:b/>
          <w:bCs/>
          <w:sz w:val="16"/>
          <w:szCs w:val="16"/>
          <w:rFonts w:ascii="Verdana" w:cs="Verdana" w:eastAsia="Verdana" w:hAnsi="Verdana"/>
        </w:rPr>
        <w:t xml:space="preserve">Wartość zamówienia netto.</w:t>
      </w:r>
      <w:r>
        <w:tab/>
      </w:r>
      <w:r>
        <w:rPr>
          <w:b/>
          <w:bCs/>
          <w:color w:val="3366CC"/>
          <w:sz w:val="16"/>
          <w:szCs w:val="16"/>
          <w:rFonts w:ascii="Verdana" w:cs="Verdana" w:eastAsia="Verdana" w:hAnsi="Verdana"/>
        </w:rPr>
        <w:t xml:space="preserve">Pozycja 1:</w:t>
      </w:r>
      <w:r>
        <w:rPr>
          <w:sz w:val="16"/>
          <w:szCs w:val="16"/>
          <w:rFonts w:ascii="Verdana" w:cs="Verdana" w:eastAsia="Verdana" w:hAnsi="Verdana"/>
        </w:rPr>
        <w:t xml:space="preserve"> </w:t>
      </w:r>
      <w:r>
        <w:rPr>
          <w:b/>
          <w:bCs/>
          <w:u w:val="single"/>
          <w:sz w:val="16"/>
          <w:szCs w:val="16"/>
          <w:rFonts w:ascii="Verdana" w:cs="Verdana" w:eastAsia="Verdana" w:hAnsi="Verdana"/>
        </w:rPr>
        <w:t xml:space="preserve">1.211.700,00 zł</w:t>
      </w:r>
    </w:p>
    <w:p>
      <w:pPr>
        <w:tabs>
          <w:tab w:val="right" w:pos="9638"/>
        </w:tabs>
        <w:spacing w:after="0" w:line="240"/>
        <w:ind w:left="284"/>
      </w:pPr>
      <w:r>
        <w:rPr>
          <w:sz w:val="16"/>
          <w:szCs w:val="16"/>
          <w:rFonts w:ascii="Verdana" w:cs="Verdana" w:eastAsia="Verdana" w:hAnsi="Verdana"/>
        </w:rPr>
        <w:t xml:space="preserve">Warunki płatności:</w:t>
      </w:r>
      <w:r>
        <w:tab/>
      </w:r>
      <w:r>
        <w:rPr>
          <w:b/>
          <w:bCs/>
          <w:color w:val="3366CC"/>
          <w:sz w:val="16"/>
          <w:szCs w:val="16"/>
          <w:rFonts w:ascii="Verdana" w:cs="Verdana" w:eastAsia="Verdana" w:hAnsi="Verdana"/>
        </w:rPr>
        <w:t xml:space="preserve">Opcja 1:</w:t>
      </w:r>
      <w:r>
        <w:rPr>
          <w:sz w:val="16"/>
          <w:szCs w:val="16"/>
          <w:rFonts w:ascii="Verdana" w:cs="Verdana" w:eastAsia="Verdana" w:hAnsi="Verdana"/>
        </w:rPr>
        <w:t xml:space="preserve"> </w:t>
      </w:r>
      <w:r>
        <w:rPr>
          <w:b/>
          <w:bCs/>
          <w:u w:val="single"/>
          <w:sz w:val="16"/>
          <w:szCs w:val="16"/>
          <w:rFonts w:ascii="Verdana" w:cs="Verdana" w:eastAsia="Verdana" w:hAnsi="Verdana"/>
        </w:rPr>
        <w:t xml:space="preserve">73.400,00 zł</w:t>
      </w:r>
    </w:p>
    <w:p>
      <w:pPr>
        <w:tabs>
          <w:tab w:val="right" w:pos="9638"/>
        </w:tabs>
        <w:spacing w:after="0" w:line="240"/>
        <w:ind w:left="284"/>
      </w:pPr>
      <w:r>
        <w:rPr>
          <w:sz w:val="16"/>
          <w:szCs w:val="16"/>
          <w:rFonts w:ascii="Verdana" w:cs="Verdana" w:eastAsia="Verdana" w:hAnsi="Verdana"/>
        </w:rPr>
        <w:t xml:space="preserve">30% zaliczka na 22 tygodnie przed dostawą,</w:t>
      </w:r>
    </w:p>
    <w:p>
      <w:pPr>
        <w:tabs>
          <w:tab w:val="right" w:pos="9638"/>
        </w:tabs>
        <w:spacing w:after="0" w:line="240"/>
        <w:ind w:left="284"/>
      </w:pPr>
      <w:r>
        <w:rPr>
          <w:sz w:val="16"/>
          <w:szCs w:val="16"/>
          <w:rFonts w:ascii="Verdana" w:cs="Verdana" w:eastAsia="Verdana" w:hAnsi="Verdana"/>
        </w:rPr>
        <w:t xml:space="preserve">do 60% płatność na 5 dni przed dostawą,</w:t>
      </w:r>
    </w:p>
    <w:p>
      <w:pPr>
        <w:tabs>
          <w:tab w:val="right" w:pos="9638"/>
        </w:tabs>
        <w:spacing w:after="0" w:line="240"/>
        <w:ind w:left="284"/>
      </w:pPr>
      <w:r>
        <w:rPr>
          <w:sz w:val="16"/>
          <w:szCs w:val="16"/>
          <w:rFonts w:ascii="Verdana" w:cs="Verdana" w:eastAsia="Verdana" w:hAnsi="Verdana"/>
        </w:rPr>
        <w:t xml:space="preserve">do 90% płatność do 21 dni po dostawie,</w:t>
      </w:r>
    </w:p>
    <w:p>
      <w:pPr>
        <w:tabs>
          <w:tab w:val="right" w:pos="9638"/>
        </w:tabs>
        <w:spacing w:after="0" w:line="240"/>
        <w:ind w:left="284"/>
      </w:pPr>
      <w:r>
        <w:rPr>
          <w:sz w:val="16"/>
          <w:szCs w:val="16"/>
          <w:rFonts w:ascii="Verdana" w:cs="Verdana" w:eastAsia="Verdana" w:hAnsi="Verdana"/>
        </w:rPr>
        <w:t xml:space="preserve">do 100% płatność do 21 dni po pierwszym badaniu UDT.</w:t>
      </w:r>
    </w:p>
    <w:p>
      <w:pPr>
        <w:tabs>
          <w:tab w:val="right" w:pos="9638"/>
        </w:tabs>
        <w:spacing w:after="0" w:line="240"/>
        <w:ind w:left="284"/>
      </w:pPr>
      <w:r>
        <w:rPr>
          <w:sz w:val="16"/>
          <w:szCs w:val="16"/>
          <w:rFonts w:ascii="Verdana" w:cs="Verdana" w:eastAsia="Verdana" w:hAnsi="Verdana"/>
        </w:rPr>
        <w:t xml:space="preserve">Oferta ważna jest 2 miesiące.</w:t>
      </w:r>
    </w:p>
    <w:p>
      <w:pPr>
        <w:tabs>
          <w:tab w:val="left" w:pos="284"/>
        </w:tabs>
        <w:spacing w:before="200" w:after="20" w:line="240"/>
        <w:ind w:left="284" w:hanging="284"/>
      </w:pPr>
      <w:r>
        <w:rPr>
          <w:b/>
          <w:bCs/>
          <w:sz w:val="16"/>
          <w:szCs w:val="16"/>
          <w:rFonts w:ascii="Verdana" w:cs="Verdana" w:eastAsia="Verdana" w:hAnsi="Verdana"/>
        </w:rPr>
        <w:t xml:space="preserve">3.</w:t>
      </w:r>
      <w:r>
        <w:tab/>
      </w:r>
      <w:r>
        <w:rPr>
          <w:b/>
          <w:bCs/>
          <w:sz w:val="16"/>
          <w:szCs w:val="16"/>
          <w:rFonts w:ascii="Verdana" w:cs="Verdana" w:eastAsia="Verdana" w:hAnsi="Verdana"/>
        </w:rPr>
        <w:t xml:space="preserve">Dostawa i montaż.</w:t>
      </w:r>
    </w:p>
    <w:p>
      <w:pPr>
        <w:spacing w:after="0" w:line="240"/>
        <w:ind w:left="284"/>
        <w:jc w:val="both"/>
      </w:pPr>
      <w:r>
        <w:rPr>
          <w:sz w:val="16"/>
          <w:szCs w:val="16"/>
          <w:rFonts w:ascii="Verdana" w:cs="Verdana" w:eastAsia="Verdana" w:hAnsi="Verdana"/>
        </w:rPr>
        <w:t xml:space="preserve">Pierwsza dostawa nastąpi nie wcześniej niż po ok. 24 tygodniach od zawarcia umowy, w zależności od aktualnie realizowanych zleceń.</w:t>
      </w:r>
    </w:p>
    <w:p>
      <w:pPr>
        <w:spacing w:after="0" w:line="240"/>
        <w:ind w:left="284"/>
        <w:jc w:val="both"/>
      </w:pPr>
      <w:r>
        <w:rPr>
          <w:sz w:val="16"/>
          <w:szCs w:val="16"/>
          <w:rFonts w:ascii="Verdana" w:cs="Verdana" w:eastAsia="Verdana" w:hAnsi="Verdana"/>
        </w:rPr>
        <w:t xml:space="preserve">Przewidywany czas montażu 9-11 tygodni od dnia dostawy, w zależności od warunków panujących na budowie.</w:t>
      </w:r>
    </w:p>
    <w:p>
      <w:pPr>
        <w:tabs>
          <w:tab w:val="left" w:pos="284"/>
        </w:tabs>
        <w:spacing w:before="200" w:after="20" w:line="240"/>
        <w:ind w:left="284" w:hanging="284"/>
      </w:pPr>
      <w:r>
        <w:rPr>
          <w:b/>
          <w:bCs/>
          <w:sz w:val="16"/>
          <w:szCs w:val="16"/>
          <w:rFonts w:ascii="Verdana" w:cs="Verdana" w:eastAsia="Verdana" w:hAnsi="Verdana"/>
        </w:rPr>
        <w:t xml:space="preserve">4.</w:t>
      </w:r>
      <w:r>
        <w:tab/>
      </w:r>
      <w:r>
        <w:rPr>
          <w:b/>
          <w:bCs/>
          <w:sz w:val="16"/>
          <w:szCs w:val="16"/>
          <w:rFonts w:ascii="Verdana" w:cs="Verdana" w:eastAsia="Verdana" w:hAnsi="Verdana"/>
        </w:rPr>
        <w:t xml:space="preserve">Zakres oferty.</w:t>
      </w:r>
    </w:p>
    <w:p>
      <w:pPr>
        <w:spacing w:before="0" w:after="0" w:line="240"/>
        <w:ind w:left="284"/>
        <w:jc w:val="both"/>
      </w:pPr>
      <w:r>
        <w:rPr>
          <w:sz w:val="16"/>
          <w:szCs w:val="16"/>
          <w:rFonts w:ascii="Verdana" w:cs="Verdana" w:eastAsia="Verdana" w:hAnsi="Verdana"/>
        </w:rPr>
        <w:t xml:space="preserve">Dostawa na plac budowy urządzeń parkingowych, montaż, rozruch i doprowadzenie do badań ruchowych poprzedzających wydanie decyzji o dopuszczeniu do użytkowania wraz z kompletem dokumentów określonych przepisami UDT oraz przeprowadzeniem szkolenia Zamawiającego. Koszty badań UDT obciążają Zamawiającego.</w:t>
      </w:r>
    </w:p>
    <w:p>
      <w:pPr>
        <w:spacing w:before="120" w:after="0" w:line="240"/>
        <w:ind w:left="284"/>
        <w:jc w:val="both"/>
      </w:pPr>
      <w:r>
        <w:rPr>
          <w:u w:val="single"/>
          <w:sz w:val="16"/>
          <w:szCs w:val="16"/>
          <w:rFonts w:ascii="Verdana" w:cs="Verdana" w:eastAsia="Verdana" w:hAnsi="Verdana"/>
        </w:rPr>
        <w:t xml:space="preserve">Poza ofertą pozostają:</w:t>
      </w:r>
      <w:r>
        <w:rPr>
          <w:sz w:val="16"/>
          <w:szCs w:val="16"/>
          <w:rFonts w:ascii="Verdana" w:cs="Verdana" w:eastAsia="Verdana" w:hAnsi="Verdana"/>
        </w:rPr>
        <w:t xml:space="preserve"> koszty przeprowadzenia badania przez UDT, wszelkie roboty budowlano-wykończeniowe obiektu, wykonanie stałych barier budowlanych zabezpieczających dostęp do zagłębienia w przypadku braku ścian (jeśli konieczne / zgodnie z naszymi wytycznymi), wykonanie przepustów przez ściany działowe o średnicy fi 100mm dla przeprowadzenia przewodów elektrycznych i hydraulicznych (jeśli konieczne / zgodnie z naszymi wytycznymi), wypełnianie szczelin, ewentualnych robót w budynku wynikających z zaleceń UDT, wyposażenia w instalację przeciw pożarową, wentylacyjną, elektryczną obiektu, sygnalizacyjną, oznaczeń pionowych i poziomych bezpieczeństwa i organizacji ruchu na terenie obiektu (w tym numeracja miejsc postojowych) oraz pomiarów elektrycznych linii zasilających (wykonywanych przez budowę).</w:t>
      </w:r>
    </w:p>
    <w:p>
      <w:pPr>
        <w:tabs>
          <w:tab w:val="left" w:pos="284"/>
        </w:tabs>
        <w:spacing w:before="200" w:after="20" w:line="240"/>
        <w:ind w:left="284" w:hanging="284"/>
      </w:pPr>
      <w:r>
        <w:rPr>
          <w:b/>
          <w:bCs/>
          <w:sz w:val="16"/>
          <w:szCs w:val="16"/>
          <w:rFonts w:ascii="Verdana" w:cs="Verdana" w:eastAsia="Verdana" w:hAnsi="Verdana"/>
        </w:rPr>
        <w:t xml:space="preserve">5.</w:t>
      </w:r>
      <w:r>
        <w:tab/>
      </w:r>
      <w:r>
        <w:rPr>
          <w:b/>
          <w:bCs/>
          <w:sz w:val="16"/>
          <w:szCs w:val="16"/>
          <w:rFonts w:ascii="Verdana" w:cs="Verdana" w:eastAsia="Verdana" w:hAnsi="Verdana"/>
        </w:rPr>
        <w:t xml:space="preserve">Warunki montażu.</w:t>
      </w:r>
    </w:p>
    <w:p>
      <w:pPr>
        <w:spacing w:before="80" w:after="0" w:line="240"/>
        <w:ind w:left="284"/>
        <w:jc w:val="both"/>
      </w:pPr>
      <w:r>
        <w:rPr>
          <w:sz w:val="16"/>
          <w:szCs w:val="16"/>
          <w:rFonts w:ascii="Verdana" w:cs="Verdana" w:eastAsia="Verdana" w:hAnsi="Verdana"/>
        </w:rPr>
        <w:t xml:space="preserve">Wszelkie elementy konstrukcyjne garażu powinny być wykonane dokładnie i zgodnie z dokumentacją projektową oraz naszymi wytycznymi. Powierzchnie podłoży wykonane z betonu C20/25 o odpowiedniej nośności, pozostające w stanie suchym i nie pylące. Wszelkie roboty budowlane, instalacyjne i wykończeniowe oraz sprzątanie należy zakończyć przed przystąpieniem do montażu urządzeń parkingowych. Na czas montażu należy zapewnić dostęp do energii elektrycznej w bliskim sąsiedztwie montażu. Wymagane jest oświetlenie zgodne z normą DIN 67528 „Oświetlenie miejsc parkingowych”.</w:t>
      </w:r>
    </w:p>
    <w:p>
      <w:pPr>
        <w:spacing w:before="80" w:after="0" w:line="240"/>
        <w:ind w:left="284"/>
        <w:jc w:val="both"/>
      </w:pPr>
      <w:r>
        <w:rPr>
          <w:sz w:val="16"/>
          <w:szCs w:val="16"/>
          <w:rFonts w:ascii="Verdana" w:cs="Verdana" w:eastAsia="Verdana" w:hAnsi="Verdana"/>
        </w:rPr>
        <w:t xml:space="preserve">Zamawiający powinien umożliwić dojazd samochodem ciężarowym o długości 20m do miejsca składowania, rozładować oraz przetransportować elementy urządzeń na miejsce montażu.</w:t>
      </w:r>
    </w:p>
    <w:p>
      <w:pPr>
        <w:spacing w:before="80" w:after="0" w:line="240"/>
        <w:ind w:left="284"/>
        <w:jc w:val="both"/>
      </w:pPr>
      <w:r>
        <w:rPr>
          <w:sz w:val="16"/>
          <w:szCs w:val="16"/>
          <w:rFonts w:ascii="Verdana" w:cs="Verdana" w:eastAsia="Verdana" w:hAnsi="Verdana"/>
        </w:rPr>
        <w:t xml:space="preserve">Ponadto Zamawiający zobowiązany jest w zakresie zasilania elektrycznego urządzeń NK38 do wykonania:</w:t>
      </w:r>
    </w:p>
    <w:p>
      <w:pPr>
        <w:tabs>
          <w:tab w:val="left" w:pos="710"/>
        </w:tabs>
        <w:spacing w:after="0" w:line="240"/>
        <w:ind w:left="710" w:hanging="426"/>
      </w:pPr>
      <w:r>
        <w:rPr>
          <w:sz w:val="16"/>
          <w:szCs w:val="16"/>
          <w:rFonts w:ascii="Verdana" w:cs="Verdana" w:eastAsia="Verdana" w:hAnsi="Verdana"/>
        </w:rPr>
        <w:t xml:space="preserve">1.</w:t>
      </w:r>
      <w:r>
        <w:tab/>
      </w:r>
      <w:r>
        <w:rPr>
          <w:sz w:val="16"/>
          <w:szCs w:val="16"/>
          <w:rFonts w:ascii="Verdana" w:cs="Verdana" w:eastAsia="Verdana" w:hAnsi="Verdana"/>
        </w:rPr>
        <w:t xml:space="preserve">Zabezpieczenia głównego zwłocznego 3x16A dla każdego agregatu hydraulicznego 6kW, 400V, 50Hz;</w:t>
      </w:r>
    </w:p>
    <w:p>
      <w:pPr>
        <w:tabs>
          <w:tab w:val="left" w:pos="710"/>
        </w:tabs>
        <w:spacing w:after="0" w:line="240"/>
        <w:ind w:left="710" w:hanging="426"/>
      </w:pPr>
      <w:r>
        <w:rPr>
          <w:sz w:val="16"/>
          <w:szCs w:val="16"/>
          <w:rFonts w:ascii="Verdana" w:cs="Verdana" w:eastAsia="Verdana" w:hAnsi="Verdana"/>
        </w:rPr>
        <w:t xml:space="preserve">2.</w:t>
      </w:r>
      <w:r>
        <w:tab/>
      </w:r>
      <w:r>
        <w:rPr>
          <w:sz w:val="16"/>
          <w:szCs w:val="16"/>
          <w:rFonts w:ascii="Verdana" w:cs="Verdana" w:eastAsia="Verdana" w:hAnsi="Verdana"/>
        </w:rPr>
        <w:t xml:space="preserve">Zasilania od zabezpieczeń do rozłącznika głównego przewodem 3Ph+N+PE 5x2.5mm2;</w:t>
      </w:r>
    </w:p>
    <w:p>
      <w:pPr>
        <w:tabs>
          <w:tab w:val="left" w:pos="710"/>
        </w:tabs>
        <w:spacing w:after="0" w:line="240"/>
        <w:ind w:left="710" w:hanging="426"/>
      </w:pPr>
      <w:r>
        <w:rPr>
          <w:sz w:val="16"/>
          <w:szCs w:val="16"/>
          <w:rFonts w:ascii="Verdana" w:cs="Verdana" w:eastAsia="Verdana" w:hAnsi="Verdana"/>
        </w:rPr>
        <w:t xml:space="preserve">3.</w:t>
      </w:r>
      <w:r>
        <w:tab/>
      </w:r>
      <w:r>
        <w:rPr>
          <w:sz w:val="16"/>
          <w:szCs w:val="16"/>
          <w:rFonts w:ascii="Verdana" w:cs="Verdana" w:eastAsia="Verdana" w:hAnsi="Verdana"/>
        </w:rPr>
        <w:t xml:space="preserve">Rozłącznika głównego blokowanego 16A 3Ph+1N – w miejscu ustalonym z dostawcą urządzeń;</w:t>
      </w:r>
    </w:p>
    <w:p>
      <w:pPr>
        <w:tabs>
          <w:tab w:val="left" w:pos="710"/>
        </w:tabs>
        <w:spacing w:after="0" w:line="240"/>
        <w:ind w:left="710" w:hanging="426"/>
      </w:pPr>
      <w:r>
        <w:rPr>
          <w:sz w:val="16"/>
          <w:szCs w:val="16"/>
          <w:rFonts w:ascii="Verdana" w:cs="Verdana" w:eastAsia="Verdana" w:hAnsi="Verdana"/>
        </w:rPr>
        <w:t xml:space="preserve">4.</w:t>
      </w:r>
      <w:r>
        <w:tab/>
      </w:r>
      <w:r>
        <w:rPr>
          <w:sz w:val="16"/>
          <w:szCs w:val="16"/>
          <w:rFonts w:ascii="Verdana" w:cs="Verdana" w:eastAsia="Verdana" w:hAnsi="Verdana"/>
        </w:rPr>
        <w:t xml:space="preserve">Doprowadzenia przewodu 5x2,5 mm2 od rozłącznika do skrzyni elektrycznej;</w:t>
      </w:r>
    </w:p>
    <w:p>
      <w:pPr>
        <w:tabs>
          <w:tab w:val="left" w:pos="710"/>
        </w:tabs>
        <w:spacing w:after="0" w:line="240"/>
        <w:ind w:left="710" w:hanging="426"/>
      </w:pPr>
      <w:r>
        <w:rPr>
          <w:sz w:val="16"/>
          <w:szCs w:val="16"/>
          <w:rFonts w:ascii="Verdana" w:cs="Verdana" w:eastAsia="Verdana" w:hAnsi="Verdana"/>
        </w:rPr>
        <w:t xml:space="preserve">5.</w:t>
      </w:r>
      <w:r>
        <w:tab/>
      </w:r>
      <w:r>
        <w:rPr>
          <w:sz w:val="16"/>
          <w:szCs w:val="16"/>
          <w:rFonts w:ascii="Verdana" w:cs="Verdana" w:eastAsia="Verdana" w:hAnsi="Verdana"/>
        </w:rPr>
        <w:t xml:space="preserve">Instalacji uziemiającej do każdego prawego/lewego słupa urządzenia.</w:t>
      </w:r>
    </w:p>
    <w:p>
      <w:pPr>
        <w:spacing w:before="80" w:after="0" w:line="240"/>
        <w:ind w:left="284"/>
        <w:jc w:val="both"/>
      </w:pPr>
      <w:r>
        <w:rPr>
          <w:sz w:val="16"/>
          <w:szCs w:val="16"/>
          <w:rFonts w:ascii="Verdana" w:cs="Verdana" w:eastAsia="Verdana" w:hAnsi="Verdana"/>
        </w:rPr>
        <w:t xml:space="preserve">Po zakończeniu montażu Zamawiający powinien oznakować krawędzie zagłębienia żółto-czarnym pasem ostrzegawczym zgodnie z ISO 3864 dla oznaczenia obszaru niebezpiecznego.</w:t>
      </w:r>
    </w:p>
    <w:p>
      <w:pPr>
        <w:tabs>
          <w:tab w:val="left" w:pos="284"/>
        </w:tabs>
        <w:spacing w:before="200" w:after="20" w:line="240"/>
        <w:ind w:left="284" w:hanging="284"/>
      </w:pPr>
      <w:r>
        <w:rPr>
          <w:b/>
          <w:bCs/>
          <w:sz w:val="16"/>
          <w:szCs w:val="16"/>
          <w:rFonts w:ascii="Verdana" w:cs="Verdana" w:eastAsia="Verdana" w:hAnsi="Verdana"/>
        </w:rPr>
        <w:t xml:space="preserve">6.</w:t>
      </w:r>
      <w:r>
        <w:tab/>
      </w:r>
      <w:r>
        <w:rPr>
          <w:b/>
          <w:bCs/>
          <w:sz w:val="16"/>
          <w:szCs w:val="16"/>
          <w:rFonts w:ascii="Verdana" w:cs="Verdana" w:eastAsia="Verdana" w:hAnsi="Verdana"/>
        </w:rPr>
        <w:t xml:space="preserve">Gwarancja.</w:t>
      </w:r>
    </w:p>
    <w:p>
      <w:pPr>
        <w:spacing w:after="0" w:line="240"/>
        <w:ind w:left="284"/>
        <w:jc w:val="both"/>
      </w:pPr>
      <w:r>
        <w:rPr>
          <w:sz w:val="16"/>
          <w:szCs w:val="16"/>
          <w:rFonts w:ascii="Verdana" w:cs="Verdana" w:eastAsia="Verdana" w:hAnsi="Verdana"/>
        </w:rPr>
        <w:t xml:space="preserve">Producent udziela 36/60 miesięcznej gwarancji jakości na sprawne działanie urządzeń pod warunkiem zawarcia z dostawcą, w terminie do 5 miesięcy od badania wstępnego UDT, i utrzymania w mocy umowy konserwacyjno-serwisowej, umożliwiającej nam stałą opiekę oraz nadzór nad stanem technicznym platform. W ramach umowy serwisowej dokonywane są 2 przeglądy serwisowe w ciągu roku.</w:t>
      </w:r>
    </w:p>
    <w:p>
      <w:pPr>
        <w:spacing w:after="0" w:line="240"/>
        <w:ind w:left="284"/>
        <w:jc w:val="both"/>
      </w:pPr>
      <w:r>
        <w:rPr>
          <w:sz w:val="16"/>
          <w:szCs w:val="16"/>
          <w:rFonts w:ascii="Verdana" w:cs="Verdana" w:eastAsia="Verdana" w:hAnsi="Verdana"/>
        </w:rPr>
        <w:t xml:space="preserve">Gwarancja nie obejmuje zużycia części eksploatacyjnych, uszkodzeń wynikających z eksploatacji niezgodnej z instrukcją użytkowania, agresywnego środowiska, zbyt dużej wilgotności, uszkodzeń powstałych w wyniku zdarzeń losowych (np. pożar, zalanie). Po upływie okresu gwarancji świadczymy serwis pogwarancyjny.</w:t>
      </w:r>
    </w:p>
    <w:p>
      <w:pPr>
        <w:spacing w:after="0" w:line="240" w:before="0"/>
      </w:pPr>
      <w:r>
        <w:rPr>
          <w:sz w:val="16"/>
          <w:szCs w:val="16"/>
          <w:rFonts w:ascii="Verdana" w:cs="Verdana" w:eastAsia="Verdana" w:hAnsi="Verdana"/>
        </w:rPr>
      </w:r>
    </w:p>
    <w:p>
      <w:pPr>
        <w:spacing w:after="0" w:line="240"/>
        <w:ind w:left="284"/>
        <w:jc w:val="both"/>
      </w:pPr>
      <w:r>
        <w:rPr>
          <w:sz w:val="16"/>
          <w:szCs w:val="16"/>
          <w:rFonts w:ascii="Verdana" w:cs="Verdana" w:eastAsia="Verdana" w:hAnsi="Verdana"/>
        </w:rPr>
        <w:t xml:space="preserve">Wyrażamy przekonanie iż przedstawiona oferta zyska Państwa aprobatę i przyczyni się do dalszej owocnej współpracy.</w:t>
      </w:r>
    </w:p>
    <w:p>
      <w:pPr>
        <w:spacing w:after="0" w:line="240"/>
        <w:ind w:left="568"/>
        <w:jc w:val="both"/>
      </w:pPr>
      <w:r>
        <w:rPr>
          <w:sz w:val="16"/>
          <w:szCs w:val="16"/>
          <w:rFonts w:ascii="Verdana" w:cs="Verdana" w:eastAsia="Verdana" w:hAnsi="Verdana"/>
        </w:rPr>
      </w:r>
    </w:p>
    <w:p>
      <w:pPr>
        <w:spacing w:after="0" w:line="240"/>
        <w:ind w:left="568"/>
        <w:jc w:val="both"/>
      </w:pPr>
      <w:r>
        <w:rPr>
          <w:sz w:val="16"/>
          <w:szCs w:val="16"/>
          <w:rFonts w:ascii="Verdana" w:cs="Verdana" w:eastAsia="Verdana" w:hAnsi="Verdana"/>
        </w:rPr>
        <w:t xml:space="preserve">Z poważaniem,</w:t>
      </w:r>
    </w:p>
    <w:p>
      <w:pPr>
        <w:spacing w:after="0" w:line="240" w:before="0"/>
      </w:pPr>
      <w:r>
        <w:rPr>
          <w:sz w:val="16"/>
          <w:szCs w:val="16"/>
          <w:rFonts w:ascii="Verdana" w:cs="Verdana" w:eastAsia="Verdana" w:hAnsi="Verdana"/>
        </w:rPr>
      </w:r>
    </w:p>
    <w:p>
      <w:pPr>
        <w:spacing w:after="0" w:line="240" w:before="0"/>
      </w:pPr>
      <w:r>
        <w:rPr>
          <w:sz w:val="16"/>
          <w:szCs w:val="16"/>
          <w:rFonts w:ascii="Verdana" w:cs="Verdana" w:eastAsia="Verdana" w:hAnsi="Verdana"/>
        </w:rPr>
      </w:r>
    </w:p>
    <w:p>
      <w:pPr>
        <w:spacing w:after="0" w:line="240" w:before="0"/>
      </w:pPr>
      <w:r>
        <w:rPr>
          <w:sz w:val="16"/>
          <w:szCs w:val="16"/>
          <w:rFonts w:ascii="Verdana" w:cs="Verdana" w:eastAsia="Verdana" w:hAnsi="Verdana"/>
        </w:rPr>
      </w:r>
    </w:p>
    <w:p>
      <w:pPr>
        <w:spacing w:after="0" w:line="240"/>
        <w:ind w:left="567"/>
        <w:jc w:val="left"/>
      </w:pPr>
      <w:r>
        <w:rPr>
          <w:sz w:val="16"/>
          <w:szCs w:val="16"/>
          <w:rFonts w:ascii="Verdana" w:cs="Verdana" w:eastAsia="Verdana" w:hAnsi="Verdana"/>
        </w:rPr>
        <w:t xml:space="preserve">arch. Iwo Nowina Konopka</w:t>
      </w:r>
    </w:p>
    <w:p>
      <w:pPr>
        <w:spacing w:after="0" w:line="240"/>
        <w:ind w:left="567"/>
        <w:jc w:val="left"/>
      </w:pPr>
      <w:r>
        <w:rPr>
          <w:sz w:val="16"/>
          <w:szCs w:val="16"/>
          <w:rFonts w:ascii="Verdana" w:cs="Verdana" w:eastAsia="Verdana" w:hAnsi="Verdana"/>
        </w:rPr>
        <w:t xml:space="preserve">Prezes Zarządu</w:t>
      </w:r>
    </w:p>
    <w:sectPr>
      <w:headerReference w:type="default" r:id="rId6"/>
      <w:headerReference w:type="first" r:id="rId7"/>
      <w:footerReference w:type="default" r:id="rId8"/>
      <w:footerReference w:type="first" r:id="rId9"/>
      <w:pgSz w:w="11906" w:h="16838" w:orient="portrait"/>
      <w:pgMar w:top="1418" w:right="1134" w:bottom="1418" w:left="1134" w:header="425" w:footer="425" w:gutter="0"/>
      <w:pgNumType/>
      <w:titlePg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spacing w:after="120" w:line="240"/>
      <w:jc w:val="both"/>
    </w:pPr>
    <w:r>
      <w:rPr>
        <w:color w:val="444444"/>
        <w:sz w:val="12"/>
        <w:szCs w:val="12"/>
        <w:rFonts w:ascii="Verdana" w:cs="Verdana" w:eastAsia="Verdana" w:hAnsi="Verdana"/>
      </w:rPr>
      <w:t xml:space="preserve">Klauzula poufności. Klient zobowiązuje się do zachowania najwyższej poufności względem zawartości i przedmiotu niniejszej oferty i załączonej dokumentacji. Zobowiązuje się również do nie rozpowszechniania jej treści ani do nie używania jej w celach innych niż ocena tej oferty.</w:t>
    </w:r>
  </w:p>
  <w:p>
    <w:pPr>
      <w:pBdr>
        <w:top w:val="single" w:color="BFBFBF" w:sz="4" w:space="4"/>
      </w:pBdr>
      <w:spacing w:after="0" w:line="240"/>
      <w:jc w:val="center"/>
    </w:pPr>
    <w:r>
      <w:rPr>
        <w:sz w:val="20"/>
        <w:szCs w:val="20"/>
        <w:rFonts w:ascii="Century Gothic" w:cs="Century Gothic" w:eastAsia="Century Gothic" w:hAnsi="Century Gothic"/>
      </w:rPr>
      <w:t xml:space="preserve">PSP NowinaKonopka Technologies Sp. z o.o. S.K.</w:t>
    </w:r>
  </w:p>
  <w:p>
    <w:pPr>
      <w:spacing w:after="0" w:line="240"/>
      <w:jc w:val="center"/>
    </w:pPr>
    <w:r>
      <w:rPr>
        <w:sz w:val="20"/>
        <w:szCs w:val="20"/>
        <w:rFonts w:ascii="Century Gothic" w:cs="Century Gothic" w:eastAsia="Century Gothic" w:hAnsi="Century Gothic"/>
      </w:rPr>
      <w:t xml:space="preserve">31-123 Kraków, ul. Krupnicza 6, NIP: PL-676-248-01-77</w:t>
    </w:r>
  </w:p>
  <w:p>
    <w:pPr>
      <w:spacing w:after="0" w:line="240"/>
      <w:jc w:val="center"/>
    </w:pPr>
    <w:r>
      <w:rPr>
        <w:u w:val="single"/>
        <w:color w:val="0000FF"/>
        <w:sz w:val="16"/>
        <w:szCs w:val="16"/>
        <w:rFonts w:ascii="Century Gothic" w:cs="Century Gothic" w:eastAsia="Century Gothic" w:hAnsi="Century Gothic"/>
      </w:rPr>
      <w:t xml:space="preserve">biuro@nowinakonopka.com</w:t>
    </w:r>
    <w:r>
      <w:rPr>
        <w:color w:val="000000"/>
        <w:sz w:val="18"/>
        <w:szCs w:val="18"/>
        <w:rFonts w:ascii="Century Gothic" w:cs="Century Gothic" w:eastAsia="Century Gothic" w:hAnsi="Century Gothic"/>
      </w:rPr>
      <w:t xml:space="preserve">    </w:t>
    </w:r>
    <w:r>
      <w:rPr>
        <w:u w:val="single"/>
        <w:color w:val="0000FF"/>
        <w:sz w:val="16"/>
        <w:szCs w:val="16"/>
        <w:rFonts w:ascii="Century Gothic" w:cs="Century Gothic" w:eastAsia="Century Gothic" w:hAnsi="Century Gothic"/>
      </w:rPr>
      <w:t xml:space="preserve">http://www.nowinakonopka.com</w:t>
    </w: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BFBFBF" w:sz="4" w:space="4"/>
      </w:pBdr>
      <w:spacing w:after="0" w:line="240"/>
      <w:jc w:val="center"/>
    </w:pPr>
    <w:r>
      <w:rPr>
        <w:sz w:val="20"/>
        <w:szCs w:val="20"/>
        <w:rFonts w:ascii="Century Gothic" w:cs="Century Gothic" w:eastAsia="Century Gothic" w:hAnsi="Century Gothic"/>
      </w:rPr>
      <w:t xml:space="preserve">PSP NowinaKonopka Technologies Sp. z o.o. S.K.</w:t>
    </w:r>
  </w:p>
  <w:p>
    <w:pPr>
      <w:spacing w:after="0" w:line="240"/>
      <w:jc w:val="center"/>
    </w:pPr>
    <w:r>
      <w:rPr>
        <w:sz w:val="20"/>
        <w:szCs w:val="20"/>
        <w:rFonts w:ascii="Century Gothic" w:cs="Century Gothic" w:eastAsia="Century Gothic" w:hAnsi="Century Gothic"/>
      </w:rPr>
      <w:t xml:space="preserve">31-123 Kraków, ul. Krupnicza 6, NIP: PL-676-248-01-77</w:t>
    </w:r>
  </w:p>
  <w:p>
    <w:pPr>
      <w:spacing w:after="0" w:line="240"/>
      <w:jc w:val="center"/>
    </w:pPr>
    <w:r>
      <w:rPr>
        <w:u w:val="single"/>
        <w:color w:val="0000FF"/>
        <w:sz w:val="16"/>
        <w:szCs w:val="16"/>
        <w:rFonts w:ascii="Century Gothic" w:cs="Century Gothic" w:eastAsia="Century Gothic" w:hAnsi="Century Gothic"/>
      </w:rPr>
      <w:t xml:space="preserve">biuro@nowinakonopka.com</w:t>
    </w:r>
    <w:r>
      <w:rPr>
        <w:color w:val="000000"/>
        <w:sz w:val="18"/>
        <w:szCs w:val="18"/>
        <w:rFonts w:ascii="Century Gothic" w:cs="Century Gothic" w:eastAsia="Century Gothic" w:hAnsi="Century Gothic"/>
      </w:rPr>
      <w:t xml:space="preserve">    </w:t>
    </w:r>
    <w:r>
      <w:rPr>
        <w:u w:val="single"/>
        <w:color w:val="0000FF"/>
        <w:sz w:val="16"/>
        <w:szCs w:val="16"/>
        <w:rFonts w:ascii="Century Gothic" w:cs="Century Gothic" w:eastAsia="Century Gothic" w:hAnsi="Century Gothic"/>
      </w:rPr>
      <w:t xml:space="preserve">http://www.nowinakonopka.com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tbl>
    <w:tblPr>
      <w:tblW w:type="dxa" w:w="9638"/>
      <w:tblBorders>
        <w:top w:val="none" w:color="FFFFFF" w:sz="0"/>
        <w:left w:val="none" w:color="FFFFFF" w:sz="0"/>
        <w:bottom w:val="none" w:color="FFFFFF" w:sz="0"/>
        <w:right w:val="none" w:color="FFFFFF" w:sz="0"/>
        <w:insideH w:val="none" w:color="FFFFFF" w:sz="0"/>
        <w:insideV w:val="none" w:color="FFFFFF" w:sz="0"/>
      </w:tblBorders>
    </w:tblPr>
    <w:tblGrid>
      <w:gridCol w:w="3600"/>
      <w:gridCol w:w="5400"/>
      <w:gridCol w:w="638"/>
    </w:tblGrid>
    <w:tr>
      <w:tc>
        <w:tcPr>
          <w:tcW w:type="dxa" w:w="36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0"/>
          </w:tcMar>
        </w:tcPr>
        <w:p>
          <w:pPr>
            <w:spacing w:after="0" w:line="240"/>
          </w:pPr>
          <w:r>
            <w:rPr>
              <w:sz w:val="16"/>
              <w:szCs w:val="16"/>
              <w:rFonts w:ascii="Verdana" w:cs="Verdana" w:eastAsia="Verdana" w:hAnsi="Verdana"/>
            </w:rPr>
          </w:r>
        </w:p>
      </w:tc>
      <w:tc>
        <w:tcPr>
          <w:tcW w:type="dxa" w:w="54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0"/>
          </w:tcMar>
          <w:vAlign w:val="top"/>
        </w:tcPr>
        <w:p>
          <w:pPr>
            <w:spacing w:after="0" w:line="240"/>
            <w:jc w:val="center"/>
          </w:pPr>
          <w:r>
            <w:rPr>
              <w:b/>
              <w:bCs/>
              <w:color w:val="000000"/>
              <w:sz w:val="18"/>
              <w:szCs w:val="18"/>
              <w:rFonts w:ascii="Times New Roman" w:cs="Times New Roman" w:eastAsia="Times New Roman" w:hAnsi="Times New Roman"/>
            </w:rPr>
            <w:t xml:space="preserve">PLATFORMOWE SYSTEMY PARKINGOWE</w:t>
          </w:r>
        </w:p>
      </w:tc>
      <w:tc>
        <w:tcPr>
          <w:tcW w:type="dxa" w:w="638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0"/>
          </w:tcMar>
          <w:vAlign w:val="top"/>
        </w:tcPr>
        <w:p>
          <w:pPr>
            <w:shd w:fill="9DBCE3" w:color="auto" w:val="clear"/>
            <w:spacing w:after="0" w:line="240"/>
            <w:jc w:val="center"/>
          </w:pPr>
          <w:r>
            <w:rPr>
              <w:b/>
              <w:bCs/>
              <w:color w:val="FFFFFF"/>
              <w:sz w:val="20"/>
              <w:szCs w:val="20"/>
              <w:rFonts w:ascii="Book Antiqua" w:cs="Book Antiqua" w:eastAsia="Book Antiqua" w:hAnsi="Book Antiqua"/>
            </w:rPr>
            <w:fldChar w:fldCharType="begin"/>
            <w:instrText xml:space="preserve">PAGE</w:instrText>
            <w:fldChar w:fldCharType="separate"/>
            <w:fldChar w:fldCharType="end"/>
          </w:r>
        </w:p>
      </w:tc>
    </w:tr>
  </w:tbl>
  <w:p>
    <w:pPr>
      <w:spacing w:after="0" w:line="240"/>
    </w:pPr>
    <w:r>
      <w:rPr>
        <w:sz w:val="16"/>
        <w:szCs w:val="16"/>
        <w:rFonts w:ascii="Verdana" w:cs="Verdana" w:eastAsia="Verdana" w:hAnsi="Verdana"/>
      </w:rPr>
    </w:r>
  </w:p>
</w:hdr>
</file>

<file path=word/header2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tbl>
    <w:tblPr>
      <w:tblW w:type="dxa" w:w="9638"/>
      <w:tblBorders>
        <w:top w:val="none" w:color="FFFFFF" w:sz="0"/>
        <w:left w:val="none" w:color="FFFFFF" w:sz="0"/>
        <w:bottom w:val="none" w:color="FFFFFF" w:sz="0"/>
        <w:right w:val="none" w:color="FFFFFF" w:sz="0"/>
        <w:insideH w:val="none" w:color="FFFFFF" w:sz="0"/>
        <w:insideV w:val="none" w:color="FFFFFF" w:sz="0"/>
      </w:tblBorders>
    </w:tblPr>
    <w:tblGrid>
      <w:gridCol w:w="3600"/>
      <w:gridCol w:w="5400"/>
      <w:gridCol w:w="638"/>
    </w:tblGrid>
    <w:tr>
      <w:tc>
        <w:tcPr>
          <w:tcW w:type="dxa" w:w="36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0"/>
          </w:tcMar>
        </w:tcPr>
        <w:p>
          <w:r>
            <w:drawing>
              <wp:inline distT="0" distB="0" distL="0" distR="0">
                <wp:extent cx="2209800" cy="552450"/>
                <wp:effectExtent t="0" r="0" b="0" l="0"/>
                <wp:docPr id="1" name="" descr="" titl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" descr="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0" cstate="none"/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2209800" cy="55245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type="dxa" w:w="54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0"/>
          </w:tcMar>
          <w:vAlign w:val="top"/>
        </w:tcPr>
        <w:p>
          <w:pPr>
            <w:spacing w:after="0" w:line="240"/>
            <w:jc w:val="center"/>
          </w:pPr>
          <w:r>
            <w:rPr>
              <w:b/>
              <w:bCs/>
              <w:color w:val="000000"/>
              <w:sz w:val="18"/>
              <w:szCs w:val="18"/>
              <w:rFonts w:ascii="Times New Roman" w:cs="Times New Roman" w:eastAsia="Times New Roman" w:hAnsi="Times New Roman"/>
            </w:rPr>
            <w:t xml:space="preserve">PLATFORMOWE SYSTEMY PARKINGOWE</w:t>
          </w:r>
        </w:p>
        <w:p>
          <w:pPr>
            <w:spacing w:after="0" w:line="240"/>
            <w:jc w:val="center"/>
          </w:pPr>
          <w:r>
            <w:rPr>
              <w:b/>
              <w:bCs/>
              <w:color w:val="000000"/>
              <w:sz w:val="18"/>
              <w:szCs w:val="18"/>
              <w:rFonts w:ascii="Times New Roman" w:cs="Times New Roman" w:eastAsia="Times New Roman" w:hAnsi="Times New Roman"/>
            </w:rPr>
            <w:t xml:space="preserve">PSP NOWINAKONOPKA TECHNOLOGIES SP. Z O.O. S.K.</w:t>
          </w:r>
        </w:p>
        <w:p>
          <w:pPr>
            <w:spacing w:after="0" w:line="240"/>
            <w:jc w:val="center"/>
          </w:pPr>
          <w:r>
            <w:rPr>
              <w:b w:val="false"/>
              <w:bCs w:val="false"/>
              <w:color w:val="444444"/>
              <w:sz w:val="17"/>
              <w:szCs w:val="17"/>
              <w:rFonts w:ascii="Century Gothic" w:cs="Century Gothic" w:eastAsia="Century Gothic" w:hAnsi="Century Gothic"/>
            </w:rPr>
            <w:t xml:space="preserve">31-123 Kraków, ul. Krupnicza 6</w:t>
          </w:r>
        </w:p>
        <w:p>
          <w:pPr>
            <w:spacing w:after="0" w:line="240"/>
            <w:jc w:val="center"/>
          </w:pPr>
          <w:r>
            <w:rPr>
              <w:b w:val="false"/>
              <w:bCs w:val="false"/>
              <w:color w:val="444444"/>
              <w:sz w:val="17"/>
              <w:szCs w:val="17"/>
              <w:rFonts w:ascii="Century Gothic" w:cs="Century Gothic" w:eastAsia="Century Gothic" w:hAnsi="Century Gothic"/>
            </w:rPr>
            <w:t xml:space="preserve">tel. +48 12 4212735</w:t>
          </w:r>
        </w:p>
        <w:p>
          <w:pPr>
            <w:spacing w:after="0" w:line="240"/>
            <w:jc w:val="center"/>
          </w:pPr>
          <w:r>
            <w:rPr>
              <w:b w:val="false"/>
              <w:bCs w:val="false"/>
              <w:color w:val="444444"/>
              <w:sz w:val="17"/>
              <w:szCs w:val="17"/>
              <w:rFonts w:ascii="Century Gothic" w:cs="Century Gothic" w:eastAsia="Century Gothic" w:hAnsi="Century Gothic"/>
            </w:rPr>
            <w:t xml:space="preserve">tel. 601 289 709</w:t>
          </w:r>
        </w:p>
      </w:tc>
      <w:tc>
        <w:tcPr>
          <w:tcW w:type="dxa" w:w="638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0"/>
          </w:tcMar>
          <w:vAlign w:val="top"/>
        </w:tcPr>
        <w:p>
          <w:pPr>
            <w:shd w:fill="9DBCE3" w:color="auto" w:val="clear"/>
            <w:spacing w:after="0" w:line="240"/>
            <w:jc w:val="center"/>
          </w:pPr>
          <w:r>
            <w:rPr>
              <w:b/>
              <w:bCs/>
              <w:color w:val="FFFFFF"/>
              <w:sz w:val="20"/>
              <w:szCs w:val="20"/>
              <w:rFonts w:ascii="Book Antiqua" w:cs="Book Antiqua" w:eastAsia="Book Antiqua" w:hAnsi="Book Antiqua"/>
            </w:rPr>
            <w:fldChar w:fldCharType="begin"/>
            <w:instrText xml:space="preserve">PAGE</w:instrText>
            <w:fldChar w:fldCharType="separate"/>
            <w:fldChar w:fldCharType="end"/>
          </w:r>
        </w:p>
      </w:tc>
    </w:tr>
  </w:tbl>
  <w:p>
    <w:pPr>
      <w:spacing w:after="0" w:line="240"/>
    </w:pPr>
    <w:r>
      <w:rPr>
        <w:sz w:val="16"/>
        <w:szCs w:val="16"/>
        <w:rFonts w:ascii="Verdana" w:cs="Verdana" w:eastAsia="Verdana" w:hAnsi="Verdana"/>
      </w:rPr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09" w:hanging="284"/>
      </w:pPr>
      <w:rPr>
        <w:color w:val="3366CC"/>
        <w:sz w:val="22"/>
        <w:szCs w:val="22"/>
      </w:r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16"/>
        <w:szCs w:val="16"/>
        <w:rFonts w:ascii="Verdana" w:cs="Verdana" w:eastAsia="Verdana" w:hAnsi="Verdan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header" Target="header2.xml"/><Relationship Id="rId8" Type="http://schemas.openxmlformats.org/officeDocument/2006/relationships/footer" Target="footer1.xml"/><Relationship Id="rId9" Type="http://schemas.openxmlformats.org/officeDocument/2006/relationships/footer" Target="footer2.xml"/></Relationships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er2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word/_rels/header2.xml.rels><?xml version="1.0" encoding="UTF-8"?><Relationships xmlns="http://schemas.openxmlformats.org/package/2006/relationships"><Relationship Id="rId0" Type="http://schemas.openxmlformats.org/officeDocument/2006/relationships/image" Target="media/sx5kxzfsfyvpriyfbj_kl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Kalkulator NK38</dc:creator>
  <cp:lastModifiedBy>Un-named</cp:lastModifiedBy>
  <cp:revision>1</cp:revision>
  <dcterms:created xsi:type="dcterms:W3CDTF">2026-10-22T08:47:04.450Z</dcterms:created>
  <dcterms:modified xsi:type="dcterms:W3CDTF">2026-10-22T08:47:04.450Z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