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rPr>
          <w:sz w:val="16"/>
          <w:szCs w:val="16"/>
          <w:rFonts w:ascii="Verdana" w:cs="Verdana" w:eastAsia="Verdana" w:hAnsi="Verdana"/>
        </w:rPr>
        <w:t xml:space="preserve">Kraków, dnia 23.10.2026r.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Szanowny Pan</w:t>
      </w:r>
    </w:p>
    <w:p>
      <w:pPr>
        <w:spacing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Jan Przykładowy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Kierownik Budowy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tel. +48 500 000 000</w:t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e-mail: </w:t>
      </w:r>
      <w:r>
        <w:rPr>
          <w:u w:val="single"/>
          <w:color w:val="0000FF"/>
          <w:sz w:val="16"/>
          <w:szCs w:val="16"/>
          <w:rFonts w:ascii="Verdana" w:cs="Verdana" w:eastAsia="Verdana" w:hAnsi="Verdana"/>
        </w:rPr>
        <w:t xml:space="preserve">jan.przykladowy@example.com</w:t>
      </w: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Przykładowy Inwestor Sp. z o.o.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ul. Testowa 1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00-001 Warszawa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NIP: 000-000-00-00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i/>
          <w:iCs/>
          <w:u w:val="single"/>
          <w:sz w:val="16"/>
          <w:szCs w:val="16"/>
          <w:rFonts w:ascii="Verdana" w:cs="Verdana" w:eastAsia="Verdana" w:hAnsi="Verdana"/>
        </w:rPr>
        <w:t xml:space="preserve">Oferta nr PRZYKLAD/INK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Szanowny Panie,</w:t>
      </w:r>
    </w:p>
    <w:p>
      <w:pPr>
        <w:spacing w:after="0" w:line="240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 związku z otrzymanym zapytaniem przedstawiamy naszą ofertę na dostawę i montaż 16 platform służących do niezależnego parkowania 52 pojazdów w garażu inwestycji ul. Lipowa 12, Kraków.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Specyfikacja oferty:</w:t>
      </w:r>
    </w:p>
    <w:p>
      <w:pPr>
        <w:spacing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Urządzenia </w:t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NK38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do niezależnego parkowania pojazdów (z zagłębieniem)</w:t>
      </w:r>
    </w:p>
    <w:p>
      <w:pPr>
        <w:spacing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Dane techniczne: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Zagłębienie:</w:t>
      </w:r>
      <w:r>
        <w:rPr>
          <w:sz w:val="16"/>
          <w:szCs w:val="16"/>
          <w:rFonts w:ascii="Verdana" w:cs="Verdana" w:eastAsia="Verdana" w:hAnsi="Verdana"/>
        </w:rPr>
        <w:t xml:space="preserve"> wysokość H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1-190,</w:t>
      </w:r>
      <w:r>
        <w:rPr>
          <w:sz w:val="16"/>
          <w:szCs w:val="16"/>
          <w:rFonts w:ascii="Verdana" w:cs="Verdana" w:eastAsia="Verdana" w:hAnsi="Verdana"/>
        </w:rPr>
        <w:t xml:space="preserve"> H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2-195</w:t>
      </w:r>
      <w:r>
        <w:rPr>
          <w:sz w:val="16"/>
          <w:szCs w:val="16"/>
          <w:rFonts w:ascii="Verdana" w:cs="Verdana" w:eastAsia="Verdana" w:hAnsi="Verdana"/>
        </w:rPr>
        <w:t xml:space="preserve">cm; długość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530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Prześwit między-kondygnacyjny:</w:t>
      </w:r>
      <w:r>
        <w:rPr>
          <w:sz w:val="16"/>
          <w:szCs w:val="16"/>
          <w:rFonts w:ascii="Verdana" w:cs="Verdana" w:eastAsia="Verdana" w:hAnsi="Verdana"/>
        </w:rPr>
        <w:t xml:space="preserve"> min.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360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parkowanych pojazdów*: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▲-165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▼-175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*w zależności od zastanych wysokości zagłębienia oraz prześwitu pomieścimy pojazdy w podanych wyżej wysokościach lub wyższych na górnej platformie jeśli prześwit będzie miejscowo na to pozwalał. Prowadzone górą instalacje mogą znacząco prześwit ograniczyć!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Jeżeli prześwit w garażu będzie wyższy, automatycznie na górnej platformie będą mogły zaparkować odpowiednio wyższe samochody.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2000</w:t>
      </w:r>
      <w:r>
        <w:rPr>
          <w:sz w:val="16"/>
          <w:szCs w:val="16"/>
          <w:rFonts w:ascii="Verdana" w:cs="Verdana" w:eastAsia="Verdana" w:hAnsi="Verdana"/>
        </w:rPr>
        <w:t xml:space="preserve">kg/miejsce postojowe,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500</w:t>
      </w:r>
      <w:r>
        <w:rPr>
          <w:sz w:val="16"/>
          <w:szCs w:val="16"/>
          <w:rFonts w:ascii="Verdana" w:cs="Verdana" w:eastAsia="Verdana" w:hAnsi="Verdana"/>
        </w:rPr>
        <w:t xml:space="preserve">kg/koło;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antykorozyjne:</w:t>
      </w:r>
      <w:r>
        <w:rPr>
          <w:sz w:val="16"/>
          <w:szCs w:val="16"/>
          <w:rFonts w:ascii="Verdana" w:cs="Verdana" w:eastAsia="Verdana" w:hAnsi="Verdana"/>
        </w:rPr>
        <w:t xml:space="preserve"> urządzenie zabezpieczone ocynkiem ogniowym oraz częściowo lakierowane.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po bokach:</w:t>
      </w:r>
      <w:r>
        <w:rPr>
          <w:sz w:val="16"/>
          <w:szCs w:val="16"/>
          <w:rFonts w:ascii="Verdana" w:cs="Verdana" w:eastAsia="Verdana" w:hAnsi="Verdana"/>
        </w:rPr>
        <w:t xml:space="preserve"> barierki systemowe lub profile zmniejszające prześwit poziomy mocowane do ścian wszędzie tam gdzie istnieje przerwa pomiędzy platformami bądź platformami i ścianami co najmniej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</w:t>
      </w:r>
      <w:r>
        <w:rPr>
          <w:sz w:val="16"/>
          <w:szCs w:val="16"/>
          <w:rFonts w:ascii="Verdana" w:cs="Verdana" w:eastAsia="Verdana" w:hAnsi="Verdana"/>
        </w:rPr>
        <w:t xml:space="preserve">cm, zg. z PN.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NK38-S</w:t>
      </w:r>
      <w:r>
        <w:rPr>
          <w:sz w:val="16"/>
          <w:szCs w:val="16"/>
          <w:rFonts w:ascii="Verdana" w:cs="Verdana" w:eastAsia="Verdana" w:hAnsi="Verdana"/>
        </w:rPr>
        <w:t xml:space="preserve"> szer. użytkowa platformy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250</w:t>
      </w:r>
      <w:r>
        <w:rPr>
          <w:sz w:val="16"/>
          <w:szCs w:val="16"/>
          <w:rFonts w:ascii="Verdana" w:cs="Verdana" w:eastAsia="Verdana" w:hAnsi="Verdana"/>
        </w:rPr>
        <w:t xml:space="preserve">cm, szer. zewnętrzna urządzenia 280cm,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10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NK38-D</w:t>
      </w:r>
      <w:r>
        <w:rPr>
          <w:sz w:val="16"/>
          <w:szCs w:val="16"/>
          <w:rFonts w:ascii="Verdana" w:cs="Verdana" w:eastAsia="Verdana" w:hAnsi="Verdana"/>
        </w:rPr>
        <w:t xml:space="preserve"> szer. użytkowa platformy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500</w:t>
      </w:r>
      <w:r>
        <w:rPr>
          <w:sz w:val="16"/>
          <w:szCs w:val="16"/>
          <w:rFonts w:ascii="Verdana" w:cs="Verdana" w:eastAsia="Verdana" w:hAnsi="Verdana"/>
        </w:rPr>
        <w:t xml:space="preserve">cm, szer. zewnętrzna urządzenia 530cm,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 szt. –  </w:t>
      </w:r>
      <w:r>
        <w:rPr>
          <w:sz w:val="16"/>
          <w:szCs w:val="16"/>
          <w:rFonts w:ascii="Verdana" w:cs="Verdana" w:eastAsia="Verdana" w:hAnsi="Verdana"/>
        </w:rPr>
        <w:t xml:space="preserve">Agregat</w:t>
      </w:r>
      <w:r>
        <w:rPr>
          <w:sz w:val="16"/>
          <w:szCs w:val="16"/>
          <w:rFonts w:ascii="Verdana" w:cs="Verdana" w:eastAsia="Verdana" w:hAnsi="Verdana"/>
        </w:rPr>
        <w:t xml:space="preserve"> hydrauliczny 400V, 50Hz, 6kW.</w:t>
      </w:r>
    </w:p>
    <w:p>
      <w:pPr>
        <w:spacing w:before="120"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Opcja 1: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2500</w:t>
      </w:r>
      <w:r>
        <w:rPr>
          <w:sz w:val="16"/>
          <w:szCs w:val="16"/>
          <w:rFonts w:ascii="Verdana" w:cs="Verdana" w:eastAsia="Verdana" w:hAnsi="Verdana"/>
        </w:rPr>
        <w:t xml:space="preserve">kg/miejsce postojowe,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625</w:t>
      </w:r>
      <w:r>
        <w:rPr>
          <w:sz w:val="16"/>
          <w:szCs w:val="16"/>
          <w:rFonts w:ascii="Verdana" w:cs="Verdana" w:eastAsia="Verdana" w:hAnsi="Verdana"/>
        </w:rPr>
        <w:t xml:space="preserve">kg/koło.</w:t>
      </w:r>
    </w:p>
    <w:p>
      <w:pPr>
        <w:tabs>
          <w:tab w:val="left" w:pos="284"/>
          <w:tab w:val="right" w:pos="9638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Wartość zamówienia netto.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800.700,00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Warunki płatności: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Opcja 1: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50.200,00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30% zaliczka na 22 tygodnie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60% płatność na 5 dni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90% płatność do 21 dni po dostawie,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100% płatność do 21 dni po pierwszym badaniu UDT.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Oferta ważna jest 2 miesiące.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Dostawa i montaż.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Pierwsza dostawa nastąpi nie wcześniej niż po ok. 24 tygodniach od zawarcia umowy, w zależności od aktualnie realizowanych zleceń.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Przewidywany czas montażu 7-9 tygodni od dnia dostawy, w zależności od warunków panujących na budowie.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Zakres oferty.</w:t>
      </w:r>
    </w:p>
    <w:p>
      <w:pPr>
        <w:spacing w:before="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Dostawa na plac budowy urządzeń parkingowych, montaż, rozruch i doprowadzenie do badań ruchowych poprzedzających wydanie decyzji o dopuszczeniu do użytkowania wraz z kompletem dokumentów określonych przepisami UDT oraz przeprowadzeniem szkolenia Zamawiającego. Koszty badań UDT obciążają Zamawiającego.</w:t>
      </w:r>
    </w:p>
    <w:p>
      <w:pPr>
        <w:spacing w:before="120"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Poza ofertą pozostają:</w:t>
      </w:r>
      <w:r>
        <w:rPr>
          <w:sz w:val="16"/>
          <w:szCs w:val="16"/>
          <w:rFonts w:ascii="Verdana" w:cs="Verdana" w:eastAsia="Verdana" w:hAnsi="Verdana"/>
        </w:rPr>
        <w:t xml:space="preserve"> koszty przeprowadzenia badania przez UDT, wszelkie roboty budowlano-wykończeniowe obiektu, wykonanie stałych barier budowlanych zabezpieczających dostęp do zagłębienia w przypadku braku ścian (jeśli konieczne / zgodnie z naszymi wytycznymi), wykonanie przepustów przez ściany działowe o średnicy fi 100mm dla przeprowadzenia przewodów elektrycznych i hydraulicznych (jeśli konieczne / zgodnie z naszymi wytycznymi), wypełnianie szczelin, ewentualnych robót w budynku wynikających z zaleceń UDT, wyposażenia w instalację przeciw pożarową, wentylacyjną, elektryczną obiektu, sygnalizacyjną, oznaczeń pionowych i poziomych bezpieczeństwa i organizacji ruchu na terenie obiektu (w tym numeracja miejsc postojowych) oraz pomiarów elektrycznych linii zasilających (wykonywanych przez budowę).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Warunki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Wszelkie elementy konstrukcyjne garażu powinny być wykonane dokładnie i zgodnie z dokumentacją projektową oraz naszymi wytycznymi. Powierzchnie podłoży wykonane z betonu C20/25 o odpowiedniej nośności, pozostające w stanie suchym i nie pylące. Wszelkie roboty budowlane, instalacyjne i wykończeniowe oraz sprzątanie należy zakończyć przed przystąpieniem do montażu urządzeń parkingowych. Na czas montażu należy zapewnić dostęp do energii elektrycznej w bliskim sąsiedztwie montażu. Wymagane jest oświetlenie zgodne z normą DIN 67528 „Oświetlenie miejsc parkingowych”.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Zamawiający powinien umożliwić dojazd samochodem ciężarowym o długości 20m do miejsca składowania, rozładować oraz przetransportować elementy urządzeń na miejsce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Ponadto Zamawiający zobowiązany jest w zakresie zasilania elektrycznego urządzeń NK38 do wykonania: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Zabezpieczenia głównego zwłocznego 3x16A dla każdego agregatu hydraulicznego 6kW, 400V, 50Hz;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Zasilania od zabezpieczeń do rozłącznika głównego przewodem 3Ph+N+PE 5x2.5mm2;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Rozłącznika głównego blokowanego 16A 3Ph+1N – w miejscu ustalonym z dostawcą urządzeń;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Doprowadzenia przewodu 5x2,5 mm2 od rozłącznika do skrzyni elektrycznej;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Instalacji uziemiającej do każdego prawego/lewego słupa urządzenia.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 zakończeniu montażu Zamawiający powinien oznakować krawędzie zagłębienia żółto-czarnym pasem ostrzegawczym zgodnie z ISO 3864 dla oznaczenia obszaru niebezpiecznego.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Gwarancja.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Producent udziela 36/60 miesięcznej gwarancji jakości na sprawne działanie urządzeń pod warunkiem zawarcia z dostawcą, w terminie do 5 miesięcy od badania wstępnego UDT, i utrzymania w mocy umowy konserwacyjno-serwisowej, umożliwiającej nam stałą opiekę oraz nadzór nad stanem technicznym platform. W ramach umowy serwisowej dokonywane są 2 przeglądy serwisowe w ciągu roku.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Gwarancja nie obejmuje zużycia części eksploatacyjnych, uszkodzeń wynikających z eksploatacji niezgodnej z instrukcją użytkowania, agresywnego środowiska, zbyt dużej wilgotności, uszkodzeń powstałych w wyniku zdarzeń losowych (np. pożar, zalanie). Po upływie okresu gwarancji świadczymy serwis pogwarancyjny.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Wyrażamy przekonanie iż przedstawiona oferta zyska Państwa aprobatę i przyczyni się do dalszej owocnej współpracy.</w:t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 poważaniem,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arch. Iwo Nowina Konopka</w:t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Prezes Zarządu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134" w:header="425" w:footer="425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40"/>
      <w:jc w:val="both"/>
    </w:pPr>
    <w:r>
      <w:rPr>
        <w:color w:val="444444"/>
        <w:sz w:val="12"/>
        <w:szCs w:val="12"/>
        <w:rFonts w:ascii="Verdana" w:cs="Verdana" w:eastAsia="Verdana" w:hAnsi="Verdana"/>
      </w:rPr>
      <w:t xml:space="preserve">Klauzula poufności. Klient zobowiązuje się do zachowania najwyższej poufności względem zawartości i przedmiotu niniejszej oferty i załączonej dokumentacji. Zobowiązuje się również do nie rozpowszechniania jej treści ani do nie używania jej w celach innych niż ocena tej oferty.</w:t>
    </w:r>
  </w:p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line="240"/>
          </w:pPr>
          <w:r>
            <w:rPr>
              <w:sz w:val="16"/>
              <w:szCs w:val="16"/>
              <w:rFonts w:ascii="Verdana" w:cs="Verdana" w:eastAsia="Verdana" w:hAnsi="Verdana"/>
            </w:rPr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drawing>
              <wp:inline distT="0" distB="0" distL="0" distR="0">
                <wp:extent cx="220980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98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PSP NOWINAKONOPKA TECHNOLOGIES SP. Z O.O. S.K.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31-123 Kraków, ul. Krupnicza 6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+48 12 4212735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601 289 709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  <w:rPr>
        <w:color w:val="3366C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6"/>
        <w:szCs w:val="16"/>
        <w:rFonts w:ascii="Verdana" w:cs="Verdana" w:eastAsia="Verdana" w:hAnsi="Verdan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9tfzn2aqnmdhrck_aabf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Kalkulator NK38</dc:creator>
  <cp:lastModifiedBy>Un-named</cp:lastModifiedBy>
  <cp:revision>1</cp:revision>
  <dcterms:created xsi:type="dcterms:W3CDTF">2026-10-23T05:42:40.020Z</dcterms:created>
  <dcterms:modified xsi:type="dcterms:W3CDTF">2026-10-23T05:42:40.020Z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