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240" w:lineRule="auto"/>
      </w:pPr>
      <w:r>
        <w:rPr>
          <w:rFonts w:ascii="Calibri" w:cs="Calibri" w:eastAsia="Calibri" w:hAnsi="Calibri"/>
          <w:b/>
          <w:bCs/>
          <w:color w:val="1F3864"/>
          <w:sz w:val="30"/>
          <w:szCs w:val="30"/>
        </w:rPr>
        <w:t xml:space="preserve">Onchocerciasis Elimination in Nigeria: Programme History, Progress and Outlook</w:t>
      </w:r>
    </w:p>
    <w:p>
      <w:pPr>
        <w:spacing w:after="20"/>
      </w:pPr>
      <w:r>
        <w:rPr>
          <w:rFonts w:ascii="Calibri" w:cs="Calibri" w:eastAsia="Calibri" w:hAnsi="Calibri"/>
          <w:color w:val="595959"/>
          <w:sz w:val="17"/>
          <w:szCs w:val="17"/>
        </w:rPr>
        <w:t xml:space="preserve">Technical briefing for the National Onchocerciasis Elimination Committee (NOEC)  •  DRAFT  •  2 September 2026</w:t>
      </w:r>
    </w:p>
    <w:p>
      <w:pPr>
        <w:pBdr>
          <w:bottom w:val="single" w:color="1F3864" w:sz="10"/>
        </w:pBdr>
        <w:spacing w:after="80"/>
      </w:pPr>
      <w:r>
        <w:rPr>
          <w:rFonts w:ascii="Calibri" w:cs="Calibri" w:eastAsia="Calibri" w:hAnsi="Calibri"/>
          <w:i/>
          <w:iCs/>
          <w:color w:val="595959"/>
          <w:sz w:val="15"/>
          <w:szCs w:val="15"/>
        </w:rPr>
        <w:t xml:space="preserve">Source: WHO/ESPEN portal — Afro_Country_Oncho_data, Afro_IU_Oncho_Flag_data, Oncho_Country_Forecast (extracted 2 Sep 2026). Implementation unit = LGA (n = 774).</w:t>
      </w:r>
    </w:p>
    <w:p>
      <w:pPr>
        <w:pBdr>
          <w:bottom w:val="single" w:color="2E74B5" w:sz="4"/>
        </w:pBdr>
        <w:spacing w:after="55" w:before="130"/>
      </w:pPr>
      <w:r>
        <w:rPr>
          <w:rFonts w:ascii="Calibri" w:cs="Calibri" w:eastAsia="Calibri" w:hAnsi="Calibri"/>
          <w:b/>
          <w:bCs/>
          <w:color w:val="1F3864"/>
          <w:spacing w:val="12"/>
          <w:sz w:val="19"/>
          <w:szCs w:val="19"/>
        </w:rPr>
        <w:t xml:space="preserve">1. PROGRAMME HISTORY</w:t>
      </w:r>
    </w:p>
    <w:p>
      <w:pPr>
        <w:spacing w:after="55" w:before="0" w:line="216" w:lineRule="auto"/>
      </w:pPr>
      <w:r>
        <w:rPr>
          <w:rFonts w:ascii="Calibri" w:cs="Calibri" w:eastAsia="Calibri" w:hAnsi="Calibri"/>
          <w:b w:val="false"/>
          <w:bCs w:val="false"/>
          <w:i w:val="false"/>
          <w:iCs w:val="false"/>
          <w:color w:val="262626"/>
          <w:sz w:val="19"/>
          <w:szCs w:val="19"/>
        </w:rPr>
        <w:t xml:space="preserve">Nigeria carries the largest onchocerciasis burden of any country worldwide. Control began under the Onchocerciasis Control Programme (OCP) and expanded nationally through community-directed treatment with ivermectin (CDTI) under APOC from the mid-1990s, with Mectizan</w:t>
      </w:r>
      <w:r>
        <w:rPr>
          <w:rFonts w:ascii="Calibri" w:cs="Calibri" w:eastAsia="Calibri" w:hAnsi="Calibri"/>
          <w:b w:val="false"/>
          <w:bCs w:val="false"/>
          <w:i w:val="false"/>
          <w:iCs w:val="false"/>
          <w:color w:val="262626"/>
          <w:sz w:val="11"/>
          <w:szCs w:val="11"/>
        </w:rPr>
        <w:t xml:space="preserve">®</w:t>
      </w:r>
      <w:r>
        <w:rPr>
          <w:rFonts w:ascii="Calibri" w:cs="Calibri" w:eastAsia="Calibri" w:hAnsi="Calibri"/>
          <w:b w:val="false"/>
          <w:bCs w:val="false"/>
          <w:i w:val="false"/>
          <w:iCs w:val="false"/>
          <w:color w:val="262626"/>
          <w:sz w:val="19"/>
          <w:szCs w:val="19"/>
        </w:rPr>
        <w:t xml:space="preserve"> donated by Merck &amp; Co. In 2012 the national goal shifted from morbidity control to </w:t>
      </w:r>
      <w:r>
        <w:rPr>
          <w:rFonts w:ascii="Calibri" w:cs="Calibri" w:eastAsia="Calibri" w:hAnsi="Calibri"/>
          <w:b/>
          <w:bCs/>
          <w:i w:val="false"/>
          <w:iCs w:val="false"/>
          <w:color w:val="262626"/>
          <w:sz w:val="19"/>
          <w:szCs w:val="19"/>
        </w:rPr>
        <w:t xml:space="preserve">interruption of transmission and elimination</w:t>
      </w:r>
      <w:r>
        <w:rPr>
          <w:rFonts w:ascii="Calibri" w:cs="Calibri" w:eastAsia="Calibri" w:hAnsi="Calibri"/>
          <w:b w:val="false"/>
          <w:bCs w:val="false"/>
          <w:i w:val="false"/>
          <w:iCs w:val="false"/>
          <w:color w:val="262626"/>
          <w:sz w:val="19"/>
          <w:szCs w:val="19"/>
        </w:rPr>
        <w:t xml:space="preserve">. The NOEC was established to adjudicate stop-MDA and surveillance decisions, and since 2016 ESPEN has served as the regional data platform through which Nigeria reports annually (JRF submitted every year 2014–2025).</w:t>
      </w:r>
    </w:p>
    <w:p>
      <w:pPr>
        <w:spacing w:after="40" w:before="0" w:line="216" w:lineRule="auto"/>
      </w:pPr>
      <w:r>
        <w:rPr>
          <w:rFonts w:ascii="Calibri" w:cs="Calibri" w:eastAsia="Calibri" w:hAnsi="Calibri"/>
          <w:b w:val="false"/>
          <w:bCs w:val="false"/>
          <w:i w:val="false"/>
          <w:iCs w:val="false"/>
          <w:color w:val="262626"/>
          <w:sz w:val="19"/>
          <w:szCs w:val="19"/>
        </w:rPr>
        <w:t xml:space="preserve">The current frame comprises all 774 LGAs. Treatment history is deep but uneven: the median LGA has completed </w:t>
      </w:r>
      <w:r>
        <w:rPr>
          <w:rFonts w:ascii="Calibri" w:cs="Calibri" w:eastAsia="Calibri" w:hAnsi="Calibri"/>
          <w:b/>
          <w:bCs/>
          <w:i w:val="false"/>
          <w:iCs w:val="false"/>
          <w:color w:val="262626"/>
          <w:sz w:val="19"/>
          <w:szCs w:val="19"/>
        </w:rPr>
        <w:t xml:space="preserve">19 rounds</w:t>
      </w:r>
      <w:r>
        <w:rPr>
          <w:rFonts w:ascii="Calibri" w:cs="Calibri" w:eastAsia="Calibri" w:hAnsi="Calibri"/>
          <w:b w:val="false"/>
          <w:bCs w:val="false"/>
          <w:i w:val="false"/>
          <w:iCs w:val="false"/>
          <w:color w:val="262626"/>
          <w:sz w:val="19"/>
          <w:szCs w:val="19"/>
        </w:rPr>
        <w:t xml:space="preserve"> of MDA (maximum 28), and 421 LGAs (54%) have ≥15 rounds — the point at which stop-MDA assessment becomes plausible under WHO guidelines.</w:t>
      </w:r>
    </w:p>
    <w:p>
      <w:pPr>
        <w:pBdr>
          <w:bottom w:val="single" w:color="2E74B5" w:sz="4"/>
        </w:pBdr>
        <w:spacing w:after="55" w:before="130"/>
      </w:pPr>
      <w:r>
        <w:rPr>
          <w:rFonts w:ascii="Calibri" w:cs="Calibri" w:eastAsia="Calibri" w:hAnsi="Calibri"/>
          <w:b/>
          <w:bCs/>
          <w:color w:val="1F3864"/>
          <w:spacing w:val="12"/>
          <w:sz w:val="19"/>
          <w:szCs w:val="19"/>
        </w:rPr>
        <w:t xml:space="preserve">2. PROGRESS OVER TIME (ESPEN REPORTED DATA)</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750"/>
        <w:gridCol w:w="1450"/>
        <w:gridCol w:w="1650"/>
        <w:gridCol w:w="1600"/>
        <w:gridCol w:w="1550"/>
        <w:gridCol w:w="1600"/>
      </w:tblGrid>
      <w:tr>
        <w:trPr>
          <w:tblHeader/>
        </w:trPr>
        <w:tc>
          <w:tcPr>
            <w:tcW w:type="dxa" w:w="12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left"/>
            </w:pPr>
            <w:r>
              <w:rPr>
                <w:rFonts w:ascii="Calibri" w:cs="Calibri" w:eastAsia="Calibri" w:hAnsi="Calibri"/>
                <w:b/>
                <w:bCs/>
                <w:color w:val="FFFFFF"/>
                <w:sz w:val="17"/>
                <w:szCs w:val="17"/>
              </w:rPr>
              <w:t xml:space="preserve">Year</w:t>
            </w:r>
          </w:p>
        </w:tc>
        <w:tc>
          <w:tcPr>
            <w:tcW w:type="dxa" w:w="175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IUs requiring MDA</w:t>
            </w:r>
          </w:p>
        </w:tc>
        <w:tc>
          <w:tcPr>
            <w:tcW w:type="dxa" w:w="145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IUs treated</w:t>
            </w:r>
          </w:p>
        </w:tc>
        <w:tc>
          <w:tcPr>
            <w:tcW w:type="dxa" w:w="165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Persons treated</w:t>
            </w:r>
          </w:p>
        </w:tc>
        <w:tc>
          <w:tcPr>
            <w:tcW w:type="dxa" w:w="16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Prog. coverage</w:t>
            </w:r>
          </w:p>
        </w:tc>
        <w:tc>
          <w:tcPr>
            <w:tcW w:type="dxa" w:w="155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IUs eff. treated</w:t>
            </w:r>
          </w:p>
        </w:tc>
        <w:tc>
          <w:tcPr>
            <w:tcW w:type="dxa" w:w="16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IUs under PTS</w:t>
            </w:r>
          </w:p>
        </w:tc>
      </w:tr>
      <w:tr>
        <w:tc>
          <w:tcPr>
            <w:tcW w:type="dxa" w:w="12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2014</w:t>
            </w:r>
          </w:p>
        </w:tc>
        <w:tc>
          <w:tcPr>
            <w:tcW w:type="dxa" w:w="17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478</w:t>
            </w:r>
          </w:p>
        </w:tc>
        <w:tc>
          <w:tcPr>
            <w:tcW w:type="dxa" w:w="14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428</w:t>
            </w:r>
          </w:p>
        </w:tc>
        <w:tc>
          <w:tcPr>
            <w:tcW w:type="dxa" w:w="16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46.2 m</w:t>
            </w:r>
          </w:p>
        </w:tc>
        <w:tc>
          <w:tcPr>
            <w:tcW w:type="dxa" w:w="16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66.3%</w:t>
            </w:r>
          </w:p>
        </w:tc>
        <w:tc>
          <w:tcPr>
            <w:tcW w:type="dxa" w:w="15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162</w:t>
            </w:r>
          </w:p>
        </w:tc>
        <w:tc>
          <w:tcPr>
            <w:tcW w:type="dxa" w:w="16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9</w:t>
            </w:r>
          </w:p>
        </w:tc>
      </w:tr>
      <w:tr>
        <w:tc>
          <w:tcPr>
            <w:tcW w:type="dxa" w:w="12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2016</w:t>
            </w:r>
          </w:p>
        </w:tc>
        <w:tc>
          <w:tcPr>
            <w:tcW w:type="dxa" w:w="17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487</w:t>
            </w:r>
          </w:p>
        </w:tc>
        <w:tc>
          <w:tcPr>
            <w:tcW w:type="dxa" w:w="14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394</w:t>
            </w:r>
          </w:p>
        </w:tc>
        <w:tc>
          <w:tcPr>
            <w:tcW w:type="dxa" w:w="16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35.9 m</w:t>
            </w:r>
          </w:p>
        </w:tc>
        <w:tc>
          <w:tcPr>
            <w:tcW w:type="dxa" w:w="16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89.3%</w:t>
            </w:r>
          </w:p>
        </w:tc>
        <w:tc>
          <w:tcPr>
            <w:tcW w:type="dxa" w:w="15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331</w:t>
            </w:r>
          </w:p>
        </w:tc>
        <w:tc>
          <w:tcPr>
            <w:tcW w:type="dxa" w:w="16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0</w:t>
            </w:r>
          </w:p>
        </w:tc>
      </w:tr>
      <w:tr>
        <w:tc>
          <w:tcPr>
            <w:tcW w:type="dxa" w:w="12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2018</w:t>
            </w:r>
          </w:p>
        </w:tc>
        <w:tc>
          <w:tcPr>
            <w:tcW w:type="dxa" w:w="17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487</w:t>
            </w:r>
          </w:p>
        </w:tc>
        <w:tc>
          <w:tcPr>
            <w:tcW w:type="dxa" w:w="14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442</w:t>
            </w:r>
          </w:p>
        </w:tc>
        <w:tc>
          <w:tcPr>
            <w:tcW w:type="dxa" w:w="16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48.3 m</w:t>
            </w:r>
          </w:p>
        </w:tc>
        <w:tc>
          <w:tcPr>
            <w:tcW w:type="dxa" w:w="16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88.3%</w:t>
            </w:r>
          </w:p>
        </w:tc>
        <w:tc>
          <w:tcPr>
            <w:tcW w:type="dxa" w:w="15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404</w:t>
            </w:r>
          </w:p>
        </w:tc>
        <w:tc>
          <w:tcPr>
            <w:tcW w:type="dxa" w:w="16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0</w:t>
            </w:r>
          </w:p>
        </w:tc>
      </w:tr>
      <w:tr>
        <w:tc>
          <w:tcPr>
            <w:tcW w:type="dxa" w:w="12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2020</w:t>
            </w:r>
          </w:p>
        </w:tc>
        <w:tc>
          <w:tcPr>
            <w:tcW w:type="dxa" w:w="17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436</w:t>
            </w:r>
          </w:p>
        </w:tc>
        <w:tc>
          <w:tcPr>
            <w:tcW w:type="dxa" w:w="14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352</w:t>
            </w:r>
          </w:p>
        </w:tc>
        <w:tc>
          <w:tcPr>
            <w:tcW w:type="dxa" w:w="16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49.6 m</w:t>
            </w:r>
          </w:p>
        </w:tc>
        <w:tc>
          <w:tcPr>
            <w:tcW w:type="dxa" w:w="16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105.1%</w:t>
            </w:r>
          </w:p>
        </w:tc>
        <w:tc>
          <w:tcPr>
            <w:tcW w:type="dxa" w:w="15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330</w:t>
            </w:r>
          </w:p>
        </w:tc>
        <w:tc>
          <w:tcPr>
            <w:tcW w:type="dxa" w:w="16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44</w:t>
            </w:r>
          </w:p>
        </w:tc>
      </w:tr>
      <w:tr>
        <w:tc>
          <w:tcPr>
            <w:tcW w:type="dxa" w:w="120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2021</w:t>
            </w:r>
          </w:p>
        </w:tc>
        <w:tc>
          <w:tcPr>
            <w:tcW w:type="dxa" w:w="175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421</w:t>
            </w:r>
          </w:p>
        </w:tc>
        <w:tc>
          <w:tcPr>
            <w:tcW w:type="dxa" w:w="145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107</w:t>
            </w:r>
          </w:p>
        </w:tc>
        <w:tc>
          <w:tcPr>
            <w:tcW w:type="dxa" w:w="165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13.2 m</w:t>
            </w:r>
          </w:p>
        </w:tc>
        <w:tc>
          <w:tcPr>
            <w:tcW w:type="dxa" w:w="160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101.2%</w:t>
            </w:r>
          </w:p>
        </w:tc>
        <w:tc>
          <w:tcPr>
            <w:tcW w:type="dxa" w:w="155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105</w:t>
            </w:r>
          </w:p>
        </w:tc>
        <w:tc>
          <w:tcPr>
            <w:tcW w:type="dxa" w:w="1600"/>
            <w:tcBorders>
              <w:top w:val="single" w:color="BFBFBF" w:sz="6"/>
              <w:left w:val="none" w:color="FFFFFF" w:sz="0"/>
              <w:bottom w:val="single" w:color="BFBFBF" w:sz="6"/>
              <w:right w:val="none" w:color="FFFFFF" w:sz="0"/>
            </w:tcBorders>
            <w:shd w:fill="FDF2E3"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61</w:t>
            </w:r>
          </w:p>
        </w:tc>
      </w:tr>
      <w:tr>
        <w:tc>
          <w:tcPr>
            <w:tcW w:type="dxa" w:w="12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2023</w:t>
            </w:r>
          </w:p>
        </w:tc>
        <w:tc>
          <w:tcPr>
            <w:tcW w:type="dxa" w:w="17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356</w:t>
            </w:r>
          </w:p>
        </w:tc>
        <w:tc>
          <w:tcPr>
            <w:tcW w:type="dxa" w:w="14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287</w:t>
            </w:r>
          </w:p>
        </w:tc>
        <w:tc>
          <w:tcPr>
            <w:tcW w:type="dxa" w:w="16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48.5 m</w:t>
            </w:r>
          </w:p>
        </w:tc>
        <w:tc>
          <w:tcPr>
            <w:tcW w:type="dxa" w:w="16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102.0%</w:t>
            </w:r>
          </w:p>
        </w:tc>
        <w:tc>
          <w:tcPr>
            <w:tcW w:type="dxa" w:w="15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254</w:t>
            </w:r>
          </w:p>
        </w:tc>
        <w:tc>
          <w:tcPr>
            <w:tcW w:type="dxa" w:w="16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128</w:t>
            </w:r>
          </w:p>
        </w:tc>
      </w:tr>
      <w:tr>
        <w:tc>
          <w:tcPr>
            <w:tcW w:type="dxa" w:w="12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left"/>
            </w:pPr>
            <w:r>
              <w:rPr>
                <w:rFonts w:ascii="Calibri" w:cs="Calibri" w:eastAsia="Calibri" w:hAnsi="Calibri"/>
                <w:b/>
                <w:bCs/>
                <w:color w:val="262626"/>
                <w:sz w:val="17"/>
                <w:szCs w:val="17"/>
              </w:rPr>
              <w:t xml:space="preserve">2025</w:t>
            </w:r>
          </w:p>
        </w:tc>
        <w:tc>
          <w:tcPr>
            <w:tcW w:type="dxa" w:w="17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260</w:t>
            </w:r>
          </w:p>
        </w:tc>
        <w:tc>
          <w:tcPr>
            <w:tcW w:type="dxa" w:w="14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257</w:t>
            </w:r>
          </w:p>
        </w:tc>
        <w:tc>
          <w:tcPr>
            <w:tcW w:type="dxa" w:w="16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50.3 m</w:t>
            </w:r>
          </w:p>
        </w:tc>
        <w:tc>
          <w:tcPr>
            <w:tcW w:type="dxa" w:w="16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100.1%</w:t>
            </w:r>
          </w:p>
        </w:tc>
        <w:tc>
          <w:tcPr>
            <w:tcW w:type="dxa" w:w="15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255</w:t>
            </w:r>
          </w:p>
        </w:tc>
        <w:tc>
          <w:tcPr>
            <w:tcW w:type="dxa" w:w="16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209</w:t>
            </w:r>
          </w:p>
        </w:tc>
      </w:tr>
    </w:tbl>
    <w:p>
      <w:pPr>
        <w:spacing w:after="55" w:before="40" w:line="216" w:lineRule="auto"/>
      </w:pPr>
      <w:r>
        <w:rPr>
          <w:rFonts w:ascii="Calibri" w:cs="Calibri" w:eastAsia="Calibri" w:hAnsi="Calibri"/>
          <w:b w:val="false"/>
          <w:bCs w:val="false"/>
          <w:i/>
          <w:iCs/>
          <w:color w:val="595959"/>
          <w:sz w:val="15"/>
          <w:szCs w:val="15"/>
        </w:rPr>
        <w:t xml:space="preserve">PTS = post-treatment surveillance. 2021 (shaded) reflects the COVID-19 / insecurity disruption.</w:t>
      </w:r>
    </w:p>
    <w:p>
      <w:pPr>
        <w:spacing w:after="40" w:before="0" w:line="216" w:lineRule="auto"/>
      </w:pPr>
      <w:r>
        <w:rPr>
          <w:rFonts w:ascii="Calibri" w:cs="Calibri" w:eastAsia="Calibri" w:hAnsi="Calibri"/>
          <w:b w:val="false"/>
          <w:bCs w:val="false"/>
          <w:i w:val="false"/>
          <w:iCs w:val="false"/>
          <w:color w:val="262626"/>
          <w:sz w:val="19"/>
          <w:szCs w:val="19"/>
        </w:rPr>
        <w:t xml:space="preserve">The direction of travel is strongly positive. </w:t>
      </w:r>
      <w:r>
        <w:rPr>
          <w:rFonts w:ascii="Calibri" w:cs="Calibri" w:eastAsia="Calibri" w:hAnsi="Calibri"/>
          <w:b/>
          <w:bCs/>
          <w:i w:val="false"/>
          <w:iCs w:val="false"/>
          <w:color w:val="262626"/>
          <w:sz w:val="19"/>
          <w:szCs w:val="19"/>
        </w:rPr>
        <w:t xml:space="preserve">LGAs still requiring MDA have fallen 46%, from 478 (2014) to 260 (2025)</w:t>
      </w:r>
      <w:r>
        <w:rPr>
          <w:rFonts w:ascii="Calibri" w:cs="Calibri" w:eastAsia="Calibri" w:hAnsi="Calibri"/>
          <w:b w:val="false"/>
          <w:bCs w:val="false"/>
          <w:i w:val="false"/>
          <w:iCs w:val="false"/>
          <w:color w:val="262626"/>
          <w:sz w:val="19"/>
          <w:szCs w:val="19"/>
        </w:rPr>
        <w:t xml:space="preserve">, while LGAs moved into post-treatment surveillance rose from 9 to 209. Delivery quality has also improved: 255 of 257 treated LGAs achieved effective (≥65%) coverage in 2025, against 162 of 428 in 2014. As at the 2024 assessment round, </w:t>
      </w:r>
      <w:r>
        <w:rPr>
          <w:rFonts w:ascii="Calibri" w:cs="Calibri" w:eastAsia="Calibri" w:hAnsi="Calibri"/>
          <w:b/>
          <w:bCs/>
          <w:i w:val="false"/>
          <w:iCs w:val="false"/>
          <w:color w:val="262626"/>
          <w:sz w:val="19"/>
          <w:szCs w:val="19"/>
        </w:rPr>
        <w:t xml:space="preserve">327 LGAs (42%) are flagged as having suspected transmission interrupted (297) or suppressed (30)</w:t>
      </w:r>
      <w:r>
        <w:rPr>
          <w:rFonts w:ascii="Calibri" w:cs="Calibri" w:eastAsia="Calibri" w:hAnsi="Calibri"/>
          <w:b w:val="false"/>
          <w:bCs w:val="false"/>
          <w:i w:val="false"/>
          <w:iCs w:val="false"/>
          <w:color w:val="262626"/>
          <w:sz w:val="19"/>
          <w:szCs w:val="19"/>
        </w:rPr>
        <w:t xml:space="preserve">.</w:t>
      </w:r>
    </w:p>
    <w:p>
      <w:pPr>
        <w:pBdr>
          <w:bottom w:val="single" w:color="2E74B5" w:sz="4"/>
        </w:pBdr>
        <w:spacing w:after="55" w:before="130"/>
      </w:pPr>
      <w:r>
        <w:rPr>
          <w:rFonts w:ascii="Calibri" w:cs="Calibri" w:eastAsia="Calibri" w:hAnsi="Calibri"/>
          <w:b/>
          <w:bCs/>
          <w:color w:val="1F3864"/>
          <w:spacing w:val="12"/>
          <w:sz w:val="19"/>
          <w:szCs w:val="19"/>
        </w:rPr>
        <w:t xml:space="preserve">3. KEY CHALLENGES TO ELIMINATION</w:t>
      </w:r>
    </w:p>
    <w:p>
      <w:pPr>
        <w:pStyle w:val="ListParagraph"/>
        <w:numPr>
          <w:ilvl w:val="0"/>
          <w:numId w:val="2"/>
        </w:numPr>
        <w:spacing w:after="28" w:before="0" w:line="214" w:lineRule="auto"/>
      </w:pPr>
      <w:r>
        <w:rPr>
          <w:rFonts w:ascii="Calibri" w:cs="Calibri" w:eastAsia="Calibri" w:hAnsi="Calibri"/>
          <w:b/>
          <w:bCs/>
          <w:i w:val="false"/>
          <w:iCs w:val="false"/>
          <w:color w:val="262626"/>
          <w:sz w:val="19"/>
          <w:szCs w:val="19"/>
        </w:rPr>
        <w:t xml:space="preserve">Unclassified LGAs are the binding constraint. </w:t>
      </w:r>
      <w:r>
        <w:rPr>
          <w:rFonts w:ascii="Calibri" w:cs="Calibri" w:eastAsia="Calibri" w:hAnsi="Calibri"/>
          <w:b w:val="false"/>
          <w:bCs w:val="false"/>
          <w:i w:val="false"/>
          <w:iCs w:val="false"/>
          <w:color w:val="262626"/>
          <w:sz w:val="19"/>
          <w:szCs w:val="19"/>
        </w:rPr>
        <w:t xml:space="preserve">153 LGAs (20%) have no confirmed oncho status: 115 are masked under LF ivermectin MDA and 38 still require Onchocerciasis Elimination Mapping (OEM). LF MDA cannot be stopped in those LGAs until oncho status is resolved, and they cannot enter a stop-MDA pathway.</w:t>
      </w:r>
    </w:p>
    <w:p>
      <w:pPr>
        <w:pStyle w:val="ListParagraph"/>
        <w:numPr>
          <w:ilvl w:val="0"/>
          <w:numId w:val="2"/>
        </w:numPr>
        <w:spacing w:after="28" w:before="0" w:line="214" w:lineRule="auto"/>
      </w:pPr>
      <w:r>
        <w:rPr>
          <w:rFonts w:ascii="Calibri" w:cs="Calibri" w:eastAsia="Calibri" w:hAnsi="Calibri"/>
          <w:b/>
          <w:bCs/>
          <w:i w:val="false"/>
          <w:iCs w:val="false"/>
          <w:color w:val="262626"/>
          <w:sz w:val="19"/>
          <w:szCs w:val="19"/>
        </w:rPr>
        <w:t xml:space="preserve">Coverage denominators are unreliable. </w:t>
      </w:r>
      <w:r>
        <w:rPr>
          <w:rFonts w:ascii="Calibri" w:cs="Calibri" w:eastAsia="Calibri" w:hAnsi="Calibri"/>
          <w:b w:val="false"/>
          <w:bCs w:val="false"/>
          <w:i w:val="false"/>
          <w:iCs w:val="false"/>
          <w:color w:val="262626"/>
          <w:sz w:val="19"/>
          <w:szCs w:val="19"/>
        </w:rPr>
        <w:t xml:space="preserve">Reported programme coverage exceeded 100% in 2020, 2021, 2022 (163.5%), 2024 (120.0%) and 2025, and epidemiological coverage reached 143.5% in 2025. Denominators drawn from projected census figures will not withstand scrutiny at stop-MDA adjudication.</w:t>
      </w:r>
    </w:p>
    <w:p>
      <w:pPr>
        <w:pStyle w:val="ListParagraph"/>
        <w:numPr>
          <w:ilvl w:val="0"/>
          <w:numId w:val="2"/>
        </w:numPr>
        <w:spacing w:after="28" w:before="0" w:line="214" w:lineRule="auto"/>
      </w:pPr>
      <w:r>
        <w:rPr>
          <w:rFonts w:ascii="Calibri" w:cs="Calibri" w:eastAsia="Calibri" w:hAnsi="Calibri"/>
          <w:b/>
          <w:bCs/>
          <w:i w:val="false"/>
          <w:iCs w:val="false"/>
          <w:color w:val="262626"/>
          <w:sz w:val="19"/>
          <w:szCs w:val="19"/>
        </w:rPr>
        <w:t xml:space="preserve">A large and growing untreated at-risk population. </w:t>
      </w:r>
      <w:r>
        <w:rPr>
          <w:rFonts w:ascii="Calibri" w:cs="Calibri" w:eastAsia="Calibri" w:hAnsi="Calibri"/>
          <w:b w:val="false"/>
          <w:bCs w:val="false"/>
          <w:i w:val="false"/>
          <w:iCs w:val="false"/>
          <w:color w:val="262626"/>
          <w:sz w:val="19"/>
          <w:szCs w:val="19"/>
        </w:rPr>
        <w:t xml:space="preserve">Population in endemic LGAs receiving no treatment rose from 6.7 m (2019) to 15.8 m (2023) to 35.4 m (2025) — concentrated in LGAs where MDA was not delivered or status is unknown.</w:t>
      </w:r>
    </w:p>
    <w:p>
      <w:pPr>
        <w:pStyle w:val="ListParagraph"/>
        <w:numPr>
          <w:ilvl w:val="0"/>
          <w:numId w:val="2"/>
        </w:numPr>
        <w:spacing w:after="28" w:before="0" w:line="214" w:lineRule="auto"/>
      </w:pPr>
      <w:r>
        <w:rPr>
          <w:rFonts w:ascii="Calibri" w:cs="Calibri" w:eastAsia="Calibri" w:hAnsi="Calibri"/>
          <w:b/>
          <w:bCs/>
          <w:i w:val="false"/>
          <w:iCs w:val="false"/>
          <w:color w:val="262626"/>
          <w:sz w:val="19"/>
          <w:szCs w:val="19"/>
        </w:rPr>
        <w:t xml:space="preserve">Fragility of delivery. </w:t>
      </w:r>
      <w:r>
        <w:rPr>
          <w:rFonts w:ascii="Calibri" w:cs="Calibri" w:eastAsia="Calibri" w:hAnsi="Calibri"/>
          <w:b w:val="false"/>
          <w:bCs w:val="false"/>
          <w:i w:val="false"/>
          <w:iCs w:val="false"/>
          <w:color w:val="262626"/>
          <w:sz w:val="19"/>
          <w:szCs w:val="19"/>
        </w:rPr>
        <w:t xml:space="preserve">The 2021 collapse to 107 treated LGAs and 13.2 m treatments took two cycles to recover, and 94 endemic LGAs recorded no MDA in 2024. Insecurity, funding gaps and CDD attrition remain live risks to round continuity.</w:t>
      </w:r>
    </w:p>
    <w:p>
      <w:pPr>
        <w:pStyle w:val="ListParagraph"/>
        <w:numPr>
          <w:ilvl w:val="0"/>
          <w:numId w:val="2"/>
        </w:numPr>
        <w:spacing w:after="28" w:before="0" w:line="214" w:lineRule="auto"/>
      </w:pPr>
      <w:r>
        <w:rPr>
          <w:rFonts w:ascii="Calibri" w:cs="Calibri" w:eastAsia="Calibri" w:hAnsi="Calibri"/>
          <w:b/>
          <w:bCs/>
          <w:i w:val="false"/>
          <w:iCs w:val="false"/>
          <w:color w:val="262626"/>
          <w:sz w:val="19"/>
          <w:szCs w:val="19"/>
        </w:rPr>
        <w:t xml:space="preserve">Assessment capacity, not treatment capacity, is now the bottleneck. </w:t>
      </w:r>
      <w:r>
        <w:rPr>
          <w:rFonts w:ascii="Calibri" w:cs="Calibri" w:eastAsia="Calibri" w:hAnsi="Calibri"/>
          <w:b w:val="false"/>
          <w:bCs w:val="false"/>
          <w:i w:val="false"/>
          <w:iCs w:val="false"/>
          <w:color w:val="262626"/>
          <w:sz w:val="19"/>
          <w:szCs w:val="19"/>
        </w:rPr>
        <w:t xml:space="preserve">56 LGAs were pending impact assessment in 2024 and 17 in 2025; the pipeline of Ov16 serosurveys, entomology and pre-stop assessments must scale faster than MDA scales down.</w:t>
      </w:r>
    </w:p>
    <w:p>
      <w:pPr>
        <w:pBdr>
          <w:bottom w:val="single" w:color="2E74B5" w:sz="4"/>
        </w:pBdr>
        <w:spacing w:after="55" w:before="130"/>
      </w:pPr>
      <w:r>
        <w:rPr>
          <w:rFonts w:ascii="Calibri" w:cs="Calibri" w:eastAsia="Calibri" w:hAnsi="Calibri"/>
          <w:b/>
          <w:bCs/>
          <w:color w:val="1F3864"/>
          <w:spacing w:val="12"/>
          <w:sz w:val="19"/>
          <w:szCs w:val="19"/>
        </w:rPr>
        <w:t xml:space="preserve">4. FIVE-YEAR OUTLOOK, 2026–2030 (ESPEN FORECAST)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700"/>
        <w:gridCol w:w="1750"/>
        <w:gridCol w:w="1900"/>
        <w:gridCol w:w="2200"/>
        <w:gridCol w:w="1850"/>
      </w:tblGrid>
      <w:tr>
        <w:trPr>
          <w:tblHeader/>
        </w:trPr>
        <w:tc>
          <w:tcPr>
            <w:tcW w:type="dxa" w:w="14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left"/>
            </w:pPr>
            <w:r>
              <w:rPr>
                <w:rFonts w:ascii="Calibri" w:cs="Calibri" w:eastAsia="Calibri" w:hAnsi="Calibri"/>
                <w:b/>
                <w:bCs/>
                <w:color w:val="FFFFFF"/>
                <w:sz w:val="17"/>
                <w:szCs w:val="17"/>
              </w:rPr>
              <w:t xml:space="preserve">Year</w:t>
            </w:r>
          </w:p>
        </w:tc>
        <w:tc>
          <w:tcPr>
            <w:tcW w:type="dxa" w:w="17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Endemic IUs</w:t>
            </w:r>
          </w:p>
        </w:tc>
        <w:tc>
          <w:tcPr>
            <w:tcW w:type="dxa" w:w="175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IUs on MDA</w:t>
            </w:r>
          </w:p>
        </w:tc>
        <w:tc>
          <w:tcPr>
            <w:tcW w:type="dxa" w:w="19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Pop. requiring PC</w:t>
            </w:r>
          </w:p>
        </w:tc>
        <w:tc>
          <w:tcPr>
            <w:tcW w:type="dxa" w:w="220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IUs under surveillance</w:t>
            </w:r>
          </w:p>
        </w:tc>
        <w:tc>
          <w:tcPr>
            <w:tcW w:type="dxa" w:w="1850"/>
            <w:tcBorders>
              <w:top w:val="none" w:color="FFFFFF" w:sz="0"/>
              <w:left w:val="none" w:color="FFFFFF" w:sz="0"/>
              <w:bottom w:val="single" w:color="1F3864" w:sz="6"/>
              <w:right w:val="none" w:color="FFFFFF" w:sz="0"/>
            </w:tcBorders>
            <w:shd w:fill="1F3864" w:color="auto" w:val="clear"/>
            <w:tcMar>
              <w:top w:type="dxa" w:w="25"/>
              <w:left w:type="dxa" w:w="70"/>
              <w:bottom w:type="dxa" w:w="25"/>
              <w:right w:type="dxa" w:w="70"/>
            </w:tcMar>
          </w:tcPr>
          <w:p>
            <w:pPr>
              <w:spacing w:after="0" w:before="0" w:line="200" w:lineRule="auto"/>
              <w:jc w:val="center"/>
            </w:pPr>
            <w:r>
              <w:rPr>
                <w:rFonts w:ascii="Calibri" w:cs="Calibri" w:eastAsia="Calibri" w:hAnsi="Calibri"/>
                <w:b/>
                <w:bCs/>
                <w:color w:val="FFFFFF"/>
                <w:sz w:val="17"/>
                <w:szCs w:val="17"/>
              </w:rPr>
              <w:t xml:space="preserve">Stop-MDA surveys</w:t>
            </w:r>
          </w:p>
        </w:tc>
      </w:tr>
      <w:tr>
        <w:tc>
          <w:tcPr>
            <w:tcW w:type="dxa" w:w="14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2026</w:t>
            </w:r>
          </w:p>
        </w:tc>
        <w:tc>
          <w:tcPr>
            <w:tcW w:type="dxa" w:w="17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50</w:t>
            </w:r>
          </w:p>
        </w:tc>
        <w:tc>
          <w:tcPr>
            <w:tcW w:type="dxa" w:w="17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76</w:t>
            </w:r>
          </w:p>
        </w:tc>
        <w:tc>
          <w:tcPr>
            <w:tcW w:type="dxa" w:w="19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7.22 m</w:t>
            </w:r>
          </w:p>
        </w:tc>
        <w:tc>
          <w:tcPr>
            <w:tcW w:type="dxa" w:w="22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432</w:t>
            </w:r>
          </w:p>
        </w:tc>
        <w:tc>
          <w:tcPr>
            <w:tcW w:type="dxa" w:w="18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17</w:t>
            </w:r>
          </w:p>
        </w:tc>
      </w:tr>
      <w:tr>
        <w:tc>
          <w:tcPr>
            <w:tcW w:type="dxa" w:w="14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2027</w:t>
            </w:r>
          </w:p>
        </w:tc>
        <w:tc>
          <w:tcPr>
            <w:tcW w:type="dxa" w:w="17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41</w:t>
            </w:r>
          </w:p>
        </w:tc>
        <w:tc>
          <w:tcPr>
            <w:tcW w:type="dxa" w:w="17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57</w:t>
            </w:r>
          </w:p>
        </w:tc>
        <w:tc>
          <w:tcPr>
            <w:tcW w:type="dxa" w:w="19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6.49 m</w:t>
            </w:r>
          </w:p>
        </w:tc>
        <w:tc>
          <w:tcPr>
            <w:tcW w:type="dxa" w:w="22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441</w:t>
            </w:r>
          </w:p>
        </w:tc>
        <w:tc>
          <w:tcPr>
            <w:tcW w:type="dxa" w:w="18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12</w:t>
            </w:r>
          </w:p>
        </w:tc>
      </w:tr>
      <w:tr>
        <w:tc>
          <w:tcPr>
            <w:tcW w:type="dxa" w:w="14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2028</w:t>
            </w:r>
          </w:p>
        </w:tc>
        <w:tc>
          <w:tcPr>
            <w:tcW w:type="dxa" w:w="17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37</w:t>
            </w:r>
          </w:p>
        </w:tc>
        <w:tc>
          <w:tcPr>
            <w:tcW w:type="dxa" w:w="17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39</w:t>
            </w:r>
          </w:p>
        </w:tc>
        <w:tc>
          <w:tcPr>
            <w:tcW w:type="dxa" w:w="19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6.16 m</w:t>
            </w:r>
          </w:p>
        </w:tc>
        <w:tc>
          <w:tcPr>
            <w:tcW w:type="dxa" w:w="22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445</w:t>
            </w:r>
          </w:p>
        </w:tc>
        <w:tc>
          <w:tcPr>
            <w:tcW w:type="dxa" w:w="18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0</w:t>
            </w:r>
          </w:p>
        </w:tc>
      </w:tr>
      <w:tr>
        <w:tc>
          <w:tcPr>
            <w:tcW w:type="dxa" w:w="14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left"/>
            </w:pPr>
            <w:r>
              <w:rPr>
                <w:rFonts w:ascii="Calibri" w:cs="Calibri" w:eastAsia="Calibri" w:hAnsi="Calibri"/>
                <w:b w:val="false"/>
                <w:bCs w:val="false"/>
                <w:color w:val="262626"/>
                <w:sz w:val="17"/>
                <w:szCs w:val="17"/>
              </w:rPr>
              <w:t xml:space="preserve">2029</w:t>
            </w:r>
          </w:p>
        </w:tc>
        <w:tc>
          <w:tcPr>
            <w:tcW w:type="dxa" w:w="17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33</w:t>
            </w:r>
          </w:p>
        </w:tc>
        <w:tc>
          <w:tcPr>
            <w:tcW w:type="dxa" w:w="17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35</w:t>
            </w:r>
          </w:p>
        </w:tc>
        <w:tc>
          <w:tcPr>
            <w:tcW w:type="dxa" w:w="19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5.70 m</w:t>
            </w:r>
          </w:p>
        </w:tc>
        <w:tc>
          <w:tcPr>
            <w:tcW w:type="dxa" w:w="220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449</w:t>
            </w:r>
          </w:p>
        </w:tc>
        <w:tc>
          <w:tcPr>
            <w:tcW w:type="dxa" w:w="1850"/>
            <w:tcBorders>
              <w:top w:val="single" w:color="BFBFBF" w:sz="6"/>
              <w:left w:val="none" w:color="FFFFFF" w:sz="0"/>
              <w:bottom w:val="single" w:color="BFBFBF" w:sz="6"/>
              <w:right w:val="none" w:color="FFFFFF" w:sz="0"/>
            </w:tcBorders>
            <w:shd w:fill="F2F6FB" w:color="auto" w:val="clear"/>
            <w:tcMar>
              <w:top w:type="dxa" w:w="25"/>
              <w:left w:type="dxa" w:w="70"/>
              <w:bottom w:type="dxa" w:w="25"/>
              <w:right w:type="dxa" w:w="70"/>
            </w:tcMar>
          </w:tcPr>
          <w:p>
            <w:pPr>
              <w:spacing w:after="0" w:before="0" w:line="200" w:lineRule="auto"/>
              <w:jc w:val="center"/>
            </w:pPr>
            <w:r>
              <w:rPr>
                <w:rFonts w:ascii="Calibri" w:cs="Calibri" w:eastAsia="Calibri" w:hAnsi="Calibri"/>
                <w:b w:val="false"/>
                <w:bCs w:val="false"/>
                <w:color w:val="262626"/>
                <w:sz w:val="17"/>
                <w:szCs w:val="17"/>
              </w:rPr>
              <w:t xml:space="preserve">0</w:t>
            </w:r>
          </w:p>
        </w:tc>
      </w:tr>
      <w:tr>
        <w:tc>
          <w:tcPr>
            <w:tcW w:type="dxa" w:w="14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left"/>
            </w:pPr>
            <w:r>
              <w:rPr>
                <w:rFonts w:ascii="Calibri" w:cs="Calibri" w:eastAsia="Calibri" w:hAnsi="Calibri"/>
                <w:b/>
                <w:bCs/>
                <w:color w:val="262626"/>
                <w:sz w:val="17"/>
                <w:szCs w:val="17"/>
              </w:rPr>
              <w:t xml:space="preserve">2030</w:t>
            </w:r>
          </w:p>
        </w:tc>
        <w:tc>
          <w:tcPr>
            <w:tcW w:type="dxa" w:w="17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25</w:t>
            </w:r>
          </w:p>
        </w:tc>
        <w:tc>
          <w:tcPr>
            <w:tcW w:type="dxa" w:w="17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27</w:t>
            </w:r>
          </w:p>
        </w:tc>
        <w:tc>
          <w:tcPr>
            <w:tcW w:type="dxa" w:w="19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4.76 m</w:t>
            </w:r>
          </w:p>
        </w:tc>
        <w:tc>
          <w:tcPr>
            <w:tcW w:type="dxa" w:w="220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457</w:t>
            </w:r>
          </w:p>
        </w:tc>
        <w:tc>
          <w:tcPr>
            <w:tcW w:type="dxa" w:w="1850"/>
            <w:tcBorders>
              <w:top w:val="single" w:color="BFBFBF" w:sz="6"/>
              <w:left w:val="none" w:color="FFFFFF" w:sz="0"/>
              <w:bottom w:val="single" w:color="BFBFBF" w:sz="6"/>
              <w:right w:val="none" w:color="FFFFFF" w:sz="0"/>
            </w:tcBorders>
            <w:tcMar>
              <w:top w:type="dxa" w:w="25"/>
              <w:left w:type="dxa" w:w="70"/>
              <w:bottom w:type="dxa" w:w="25"/>
              <w:right w:type="dxa" w:w="70"/>
            </w:tcMar>
          </w:tcPr>
          <w:p>
            <w:pPr>
              <w:spacing w:after="0" w:before="0" w:line="200" w:lineRule="auto"/>
              <w:jc w:val="center"/>
            </w:pPr>
            <w:r>
              <w:rPr>
                <w:rFonts w:ascii="Calibri" w:cs="Calibri" w:eastAsia="Calibri" w:hAnsi="Calibri"/>
                <w:b/>
                <w:bCs/>
                <w:color w:val="262626"/>
                <w:sz w:val="17"/>
                <w:szCs w:val="17"/>
              </w:rPr>
              <w:t xml:space="preserve">0</w:t>
            </w:r>
          </w:p>
        </w:tc>
      </w:tr>
    </w:tbl>
    <w:p>
      <w:pPr>
        <w:spacing w:after="55" w:before="40" w:line="216" w:lineRule="auto"/>
      </w:pPr>
      <w:r>
        <w:rPr>
          <w:rFonts w:ascii="Calibri" w:cs="Calibri" w:eastAsia="Calibri" w:hAnsi="Calibri"/>
          <w:b w:val="false"/>
          <w:bCs w:val="false"/>
          <w:i w:val="false"/>
          <w:iCs w:val="false"/>
          <w:color w:val="262626"/>
          <w:sz w:val="19"/>
          <w:szCs w:val="19"/>
        </w:rPr>
        <w:t xml:space="preserve">ESPEN projects continued, orderly contraction: LGAs on MDA fall by 64% (76 → 27), the population requiring preventive chemotherapy falls by a third (7.2 m → 4.8 m), and LGAs under surveillance rise to 457 by 2030. A major surveillance wave is scheduled for 2027 (360 LGAs), with pre-stop-MDA assessments spread across the period (9, 4, 4, 8 and 11 LGAs respectively).</w:t>
      </w:r>
    </w:p>
    <w:p>
      <w:pPr>
        <w:spacing w:after="40" w:before="0" w:line="216" w:lineRule="auto"/>
      </w:pPr>
      <w:r>
        <w:rPr>
          <w:rFonts w:ascii="Calibri" w:cs="Calibri" w:eastAsia="Calibri" w:hAnsi="Calibri"/>
          <w:b/>
          <w:bCs/>
          <w:i w:val="false"/>
          <w:iCs w:val="false"/>
          <w:color w:val="262626"/>
          <w:sz w:val="19"/>
          <w:szCs w:val="19"/>
        </w:rPr>
        <w:t xml:space="preserve">Two caveats the NOEC should note. </w:t>
      </w:r>
      <w:r>
        <w:rPr>
          <w:rFonts w:ascii="Calibri" w:cs="Calibri" w:eastAsia="Calibri" w:hAnsi="Calibri"/>
          <w:b w:val="false"/>
          <w:bCs w:val="false"/>
          <w:i w:val="false"/>
          <w:iCs w:val="false"/>
          <w:color w:val="262626"/>
          <w:sz w:val="19"/>
          <w:szCs w:val="19"/>
        </w:rPr>
        <w:t xml:space="preserve">First, the forecast holds </w:t>
      </w:r>
      <w:r>
        <w:rPr>
          <w:rFonts w:ascii="Calibri" w:cs="Calibri" w:eastAsia="Calibri" w:hAnsi="Calibri"/>
          <w:b/>
          <w:bCs/>
          <w:i w:val="false"/>
          <w:iCs w:val="false"/>
          <w:color w:val="262626"/>
          <w:sz w:val="19"/>
          <w:szCs w:val="19"/>
        </w:rPr>
        <w:t xml:space="preserve">248 LGAs (32%) in “unknown” status unchanged through 2030 and schedules no mapping activity after 2023</w:t>
      </w:r>
      <w:r>
        <w:rPr>
          <w:rFonts w:ascii="Calibri" w:cs="Calibri" w:eastAsia="Calibri" w:hAnsi="Calibri"/>
          <w:b w:val="false"/>
          <w:bCs w:val="false"/>
          <w:i w:val="false"/>
          <w:iCs w:val="false"/>
          <w:color w:val="262626"/>
          <w:sz w:val="19"/>
          <w:szCs w:val="19"/>
        </w:rPr>
        <w:t xml:space="preserve"> — so it describes the trajectory of the known endemic frame only, not national elimination. Second, its baseline (44 non-endemic LGAs) diverges from Nigeria’s 2025 reported data (135), and should be re-based against the latest JRF before it is used for commodity forecasting.</w:t>
      </w:r>
    </w:p>
    <w:p>
      <w:pPr>
        <w:spacing w:after="0" w:before="0" w:line="216" w:lineRule="auto"/>
      </w:pPr>
      <w:r>
        <w:rPr>
          <w:rFonts w:ascii="Calibri" w:cs="Calibri" w:eastAsia="Calibri" w:hAnsi="Calibri"/>
          <w:b/>
          <w:bCs/>
          <w:i w:val="false"/>
          <w:iCs w:val="false"/>
          <w:color w:val="262626"/>
          <w:sz w:val="19"/>
          <w:szCs w:val="19"/>
        </w:rPr>
        <w:t xml:space="preserve">Bottom line: </w:t>
      </w:r>
      <w:r>
        <w:rPr>
          <w:rFonts w:ascii="Calibri" w:cs="Calibri" w:eastAsia="Calibri" w:hAnsi="Calibri"/>
          <w:b w:val="false"/>
          <w:bCs w:val="false"/>
          <w:i w:val="false"/>
          <w:iCs w:val="false"/>
          <w:color w:val="262626"/>
          <w:sz w:val="19"/>
          <w:szCs w:val="19"/>
        </w:rPr>
        <w:t xml:space="preserve">on current trajectory Nigeria will have retired MDA in the large majority of its endemic LGAs by 2030, but </w:t>
      </w:r>
      <w:r>
        <w:rPr>
          <w:rFonts w:ascii="Calibri" w:cs="Calibri" w:eastAsia="Calibri" w:hAnsi="Calibri"/>
          <w:b/>
          <w:bCs/>
          <w:i w:val="false"/>
          <w:iCs w:val="false"/>
          <w:color w:val="262626"/>
          <w:sz w:val="19"/>
          <w:szCs w:val="19"/>
        </w:rPr>
        <w:t xml:space="preserve">will not be positioned to claim national elimination of transmission unless the 153 unclassified LGAs are mapped and adjudicated within the next two to three years</w:t>
      </w:r>
      <w:r>
        <w:rPr>
          <w:rFonts w:ascii="Calibri" w:cs="Calibri" w:eastAsia="Calibri" w:hAnsi="Calibri"/>
          <w:b w:val="false"/>
          <w:bCs w:val="false"/>
          <w:i w:val="false"/>
          <w:iCs w:val="false"/>
          <w:color w:val="262626"/>
          <w:sz w:val="19"/>
          <w:szCs w:val="19"/>
        </w:rPr>
        <w:t xml:space="preserve">. Recommended NOEC priorities: (i) fund and schedule OEM in the 38 unmapped LGAs; (ii) resolve oncho status in the 115 LF-masked LGAs; (iii) commission a denominator review before the 2027 stop-MDA round; (iv) protect assessment financing as MDA financing declines.</w:t>
      </w:r>
    </w:p>
    <w:p>
      <w:pPr>
        <w:pBdr>
          <w:top w:val="single" w:color="BFBFBF" w:sz="4"/>
        </w:pBdr>
        <w:spacing w:after="0" w:before="100"/>
      </w:pPr>
      <w:r>
        <w:rPr>
          <w:rFonts w:ascii="Calibri" w:cs="Calibri" w:eastAsia="Calibri" w:hAnsi="Calibri"/>
          <w:i/>
          <w:iCs/>
          <w:color w:val="595959"/>
          <w:sz w:val="14"/>
          <w:szCs w:val="14"/>
        </w:rPr>
        <w:t xml:space="preserve">Prepared for NOEC discussion. Figures are as reported to WHO/ESPEN and have not been independently validated; coverage values &gt;100% are reproduced as reported.</w:t>
      </w:r>
    </w:p>
    <w:sectPr>
      <w:pgSz w:w="12240" w:h="15840" w:orient="portrait"/>
      <w:pgMar w:top="620" w:right="720" w:bottom="5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rPr>
        <w:rFonts w:ascii="Calibri" w:cs="Calibri" w:eastAsia="Calibri" w:hAnsi="Calibri"/>
        <w:color w:val="2E74B5"/>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Onchocerciasis Elimination in Nigeria — NOEC Technical Briefing</dc:title>
  <dc:creator>TJ Muehleman</dc:creator>
  <cp:lastModifiedBy>Un-named</cp:lastModifiedBy>
  <cp:revision>1</cp:revision>
  <dcterms:created xsi:type="dcterms:W3CDTF">2026-09-02T19:44:45.196Z</dcterms:created>
  <dcterms:modified xsi:type="dcterms:W3CDTF">2026-09-02T19:44:45.197Z</dcterms:modified>
</cp:coreProperties>
</file>

<file path=docProps/custom.xml><?xml version="1.0" encoding="utf-8"?>
<Properties xmlns="http://schemas.openxmlformats.org/officeDocument/2006/custom-properties" xmlns:vt="http://schemas.openxmlformats.org/officeDocument/2006/docPropsVTypes"/>
</file>