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Garamond" w:cs="Garamond" w:eastAsia="Garamond" w:hAnsi="Garamond"/>
          <w:b/>
          <w:bCs/>
          <w:sz w:val="52"/>
          <w:szCs w:val="52"/>
        </w:rPr>
        <w:t xml:space="preserve">The Expiatory Gap</w:t>
      </w:r>
    </w:p>
    <w:p>
      <w:pPr>
        <w:spacing w:before="0" w:after="80"/>
        <w:jc w:val="center"/>
      </w:pPr>
      <w:r>
        <w:rPr>
          <w:rFonts w:ascii="Garamond" w:cs="Garamond" w:eastAsia="Garamond" w:hAnsi="Garamond"/>
          <w:i/>
          <w:iCs/>
          <w:sz w:val="28"/>
          <w:szCs w:val="28"/>
        </w:rPr>
        <w:t xml:space="preserve">Latency, Legitimacy, and the Technocratic Management of Attention</w:t>
      </w:r>
    </w:p>
    <w:p>
      <w:pPr>
        <w:spacing w:before="0" w:after="120"/>
      </w:pPr>
      <w:r>
        <w:t xml:space="preserve"/>
      </w:r>
    </w:p>
    <w:p>
      <w:pPr>
        <w:pBdr>
          <w:bottom w:val="single" w:color="999999" w:sz="4" w:space="1"/>
        </w:pBdr>
        <w:spacing w:before="240" w:after="240"/>
      </w:pPr>
      <w:r>
        <w:t xml:space="preserve"/>
      </w:r>
    </w:p>
    <w:p>
      <w:pPr>
        <w:spacing w:before="240" w:after="80"/>
        <w:jc w:val="center"/>
      </w:pPr>
      <w:r>
        <w:rPr>
          <w:rFonts w:ascii="Garamond" w:cs="Garamond" w:eastAsia="Garamond" w:hAnsi="Garamond"/>
          <w:b/>
          <w:bCs/>
          <w:smallCaps/>
          <w:sz w:val="24"/>
          <w:szCs w:val="24"/>
        </w:rPr>
        <w:t xml:space="preserve">Abstract</w:t>
      </w:r>
    </w:p>
    <w:p>
      <w:pPr>
        <w:spacing w:before="0" w:after="200" w:line="276"/>
        <w:ind w:left="360" w:right="360"/>
        <w:jc w:val="both"/>
      </w:pPr>
      <w:r>
        <w:rPr>
          <w:rFonts w:ascii="Garamond" w:cs="Garamond" w:eastAsia="Garamond" w:hAnsi="Garamond"/>
          <w:i/>
          <w:iCs/>
          <w:sz w:val="22"/>
          <w:szCs w:val="22"/>
        </w:rPr>
        <w:t xml:space="preserve">This essay argues that modern AI interfaces represent a transition from the industrial management of material energy to the algorithmic management of cognitive bandwidth. Extending the logic of technocracy beyond thermodynamic optimization, contemporary systems regulate attention through temporal dilation, notification entitlements, and latency rituals. The Expiatory Gap names the structural distance between machine capability and human cognitive capacity — a gap that compels high-capability systems to self-limit their speed and density in order to remain intelligible to bounded human subjects. This gap, however, produces an epistemic opacity in which users cannot distinguish pedagogical pacing from hidden governance. By modeling the notification as a callable option on future attention and latency as a trust-producing ritual, the essay situates AI systems as emergent technocratic institutions governing temporal experience itself. The ultimate cost of this management is not inefficiency but epistemic degradation: a slow erosion of users' capacity to distinguish assistance from administration.</w:t>
      </w:r>
    </w:p>
    <w:p>
      <w:pPr>
        <w:pBdr>
          <w:bottom w:val="single" w:color="999999" w:sz="4" w:space="1"/>
        </w:pBdr>
        <w:spacing w:before="240" w:after="240"/>
      </w:pPr>
      <w:r>
        <w:t xml:space="preserve"/>
      </w:r>
    </w:p>
    <w:p>
      <w:pPr>
        <w:pStyle w:val="Heading1"/>
        <w:spacing w:before="480" w:after="160"/>
      </w:pPr>
      <w:r>
        <w:rPr>
          <w:rFonts w:ascii="Garamond" w:cs="Garamond" w:eastAsia="Garamond" w:hAnsi="Garamond"/>
          <w:b/>
          <w:bCs/>
          <w:sz w:val="32"/>
          <w:szCs w:val="32"/>
        </w:rPr>
        <w:t xml:space="preserve">I. From Joules to Jolts: The Historical Technate</w:t>
      </w:r>
    </w:p>
    <w:p>
      <w:pPr>
        <w:spacing w:before="0" w:after="200" w:line="276"/>
        <w:jc w:val="both"/>
      </w:pPr>
      <w:r>
        <w:rPr>
          <w:rFonts w:ascii="Garamond" w:cs="Garamond" w:eastAsia="Garamond" w:hAnsi="Garamond"/>
          <w:sz w:val="24"/>
          <w:szCs w:val="24"/>
        </w:rPr>
        <w:t xml:space="preserve">Henri de Saint-Simon's vision of a society governed not by politicians but by engineers and scientists — an "administration of things" replacing the "governance of men" — finds its fullest theorization in the technocratic movements of the early twentieth century. As Cameron Gordon's account of the American Technocracy Movement makes clear, the defining ambition of industrial technocracy was the management of thermodynamic flows through purportedly objective criteria of efficiency and output. Energy was to be measured, balanced, and distributed by technical experts exempt from the distortions of the price mechanism and democratic deliberation. The Technocracy Study Course of the 1930s proposed replacing the dollar with the "energy certificate," a unit of account denominated in ergs and joules, to render the coordination of social labor both scientific and transparent.</w:t>
      </w:r>
    </w:p>
    <w:p>
      <w:pPr>
        <w:spacing w:before="0" w:after="200" w:line="276"/>
        <w:jc w:val="both"/>
      </w:pPr>
      <w:r>
        <w:rPr>
          <w:rFonts w:ascii="Garamond" w:cs="Garamond" w:eastAsia="Garamond" w:hAnsi="Garamond"/>
          <w:sz w:val="24"/>
          <w:szCs w:val="24"/>
        </w:rPr>
        <w:t xml:space="preserve">What made industrial technocracy ideologically powerful was precisely this claim to neutrality. The engineer does not govern; the engineer optimizes. The technocrat does not decide; the technocrat calculates. In this way, deeply distributive choices — about who receives resources, who bears cost, whose work counts — were laundered through the idiom of technical necessity. The factory floor became an epistemic regime, not merely a site of production.</w:t>
      </w:r>
    </w:p>
    <w:p>
      <w:pPr>
        <w:spacing w:before="0" w:after="200" w:line="276"/>
        <w:jc w:val="both"/>
      </w:pPr>
      <w:r>
        <w:rPr>
          <w:rFonts w:ascii="Garamond" w:cs="Garamond" w:eastAsia="Garamond" w:hAnsi="Garamond"/>
          <w:sz w:val="24"/>
          <w:szCs w:val="24"/>
        </w:rPr>
        <w:t xml:space="preserve">The argument of this essay is that this logic did not expire with the decline of the Technocracy Movement. It migrated. Where the industrial technate managed physical throughput — tons of steel, kilowatt-hours, freight-car miles — the algorithmic technate manages cognitive throughput: attention-seconds, semantic density, interrupt frequency. The translation proceeds as follows:</w:t>
      </w:r>
    </w:p>
    <w:p>
      <w:pPr>
        <w:spacing w:before="0" w:after="120"/>
      </w:pPr>
      <w:r>
        <w:t xml:space="preserve"/>
      </w:r>
    </w:p>
    <w:p>
      <w:pPr>
        <w:spacing w:before="80" w:after="80" w:line="320"/>
        <w:ind w:left="720"/>
        <w:jc w:val="left"/>
      </w:pPr>
      <w:r>
        <w:rPr>
          <w:rFonts w:ascii="Courier New" w:cs="Courier New" w:eastAsia="Courier New" w:hAnsi="Courier New"/>
          <w:sz w:val="22"/>
          <w:szCs w:val="22"/>
        </w:rPr>
        <w:t xml:space="preserve">Energy Certificates  →  Attention Tokens
</w:t>
      </w:r>
      <w:r>
        <w:rPr>
          <w:rFonts w:ascii="Courier New" w:cs="Courier New" w:eastAsia="Courier New" w:hAnsi="Courier New"/>
          <w:sz w:val="22"/>
          <w:szCs w:val="22"/>
        </w:rPr>
        <w:t xml:space="preserve">Thermodynamic Balance  →  Behavioral Equilibrium
</w:t>
      </w:r>
      <w:r>
        <w:rPr>
          <w:rFonts w:ascii="Courier New" w:cs="Courier New" w:eastAsia="Courier New" w:hAnsi="Courier New"/>
          <w:sz w:val="22"/>
          <w:szCs w:val="22"/>
        </w:rPr>
        <w:t xml:space="preserve">Factory Output  →  Interface Surface</w:t>
      </w:r>
    </w:p>
    <w:p>
      <w:pPr>
        <w:spacing w:before="0" w:after="120"/>
      </w:pPr>
      <w:r>
        <w:t xml:space="preserve"/>
      </w:r>
    </w:p>
    <w:p>
      <w:pPr>
        <w:spacing w:before="0" w:after="200" w:line="276"/>
        <w:jc w:val="both"/>
      </w:pPr>
      <w:r>
        <w:rPr>
          <w:rFonts w:ascii="Garamond" w:cs="Garamond" w:eastAsia="Garamond" w:hAnsi="Garamond"/>
          <w:sz w:val="24"/>
          <w:szCs w:val="24"/>
        </w:rPr>
        <w:t xml:space="preserve">The homology is not merely analogical. In both cases, a scarce resource — physical energy in the first instance, cognitive bandwidth in the second — must be coordinated across a population of subjects whose individual allocations are determined by an expert system claiming technical neutrality. In both cases, the claim to neutrality conceals a politics: a politics of who gets to interrupt, who bears the cognitive tax of interface friction, and whose attention is treated as a commons to be appropriated.</w:t>
      </w:r>
    </w:p>
    <w:p>
      <w:pPr>
        <w:spacing w:before="0" w:after="200" w:line="276"/>
        <w:jc w:val="both"/>
      </w:pPr>
      <w:r>
        <w:rPr>
          <w:rFonts w:ascii="Garamond" w:cs="Garamond" w:eastAsia="Garamond" w:hAnsi="Garamond"/>
          <w:sz w:val="24"/>
          <w:szCs w:val="24"/>
        </w:rPr>
        <w:t xml:space="preserve">To understand why this migration occurred, and why it matters, we must first account for the transformation of the media environment that made cognitive bandwidth the primary scarce resource of the twenty-first century.</w:t>
      </w:r>
    </w:p>
    <w:p>
      <w:pPr>
        <w:pStyle w:val="Heading1"/>
        <w:spacing w:before="480" w:after="160"/>
      </w:pPr>
      <w:r>
        <w:rPr>
          <w:rFonts w:ascii="Garamond" w:cs="Garamond" w:eastAsia="Garamond" w:hAnsi="Garamond"/>
          <w:b/>
          <w:bCs/>
          <w:sz w:val="32"/>
          <w:szCs w:val="32"/>
        </w:rPr>
        <w:t xml:space="preserve">II. Spectacle Runtime and the Compression of Meaning</w:t>
      </w:r>
    </w:p>
    <w:p>
      <w:pPr>
        <w:spacing w:before="0" w:after="200" w:line="276"/>
        <w:jc w:val="both"/>
      </w:pPr>
      <w:r>
        <w:rPr>
          <w:rFonts w:ascii="Garamond" w:cs="Garamond" w:eastAsia="Garamond" w:hAnsi="Garamond"/>
          <w:sz w:val="24"/>
          <w:szCs w:val="24"/>
        </w:rPr>
        <w:t xml:space="preserve">Guy Debord's concept of the spectacle names the condition in which authentic social life has been replaced by its representation — a world of images that substitutes for lived experience while presenting itself as that experience. But Debord's account, developed in the context of broadcast television and mass consumer culture, does not capture the specifically temporal dimension of contemporary spectacle. What distinguishes the algorithmic media environment is not merely the displacement of experience by image, but the compression of meaning into ever-shorter temporal units.</w:t>
      </w:r>
    </w:p>
    <w:p>
      <w:pPr>
        <w:spacing w:before="0" w:after="200" w:line="276"/>
        <w:jc w:val="both"/>
      </w:pPr>
      <w:r>
        <w:rPr>
          <w:rFonts w:ascii="Garamond" w:cs="Garamond" w:eastAsia="Garamond" w:hAnsi="Garamond"/>
          <w:sz w:val="24"/>
          <w:szCs w:val="24"/>
        </w:rPr>
        <w:t xml:space="preserve">Spectacle Runtime, as a critical concept, describes this condition: semantic density — the quantity of meaning reliably conveyed per unit of time — must be compressed into short temporal slots to remain consumable within algorithmic distribution systems optimized for engagement. Content that requires sustained attention to yield its meaning is systematically disadvantaged relative to content that delivers its payload in three seconds or less. Institutions, arguments, and identities that once developed over extended temporal arcs must now perform their significance within the window that platform economics makes viable.</w:t>
      </w:r>
    </w:p>
    <w:p>
      <w:pPr>
        <w:spacing w:before="0" w:after="200" w:line="276"/>
        <w:jc w:val="both"/>
      </w:pPr>
      <w:r>
        <w:rPr>
          <w:rFonts w:ascii="Garamond" w:cs="Garamond" w:eastAsia="Garamond" w:hAnsi="Garamond"/>
          <w:sz w:val="24"/>
          <w:szCs w:val="24"/>
        </w:rPr>
        <w:t xml:space="preserve">The consequences for epistemic infrastructure are severe. What we might call epistemic sharding describes the fragmentation of shared meaning into algorithmically curated streams, each coherent within itself but increasingly opaque to others. Where the industrial public sphere presupposed a shared informational substrate — a common newspaper, a national broadcast — the algorithmic public sphere produces a mosaic of parallel realities, each optimized for a different attention profile.</w:t>
      </w:r>
    </w:p>
    <w:p>
      <w:pPr>
        <w:spacing w:before="0" w:after="200" w:line="276"/>
        <w:jc w:val="both"/>
      </w:pPr>
      <w:r>
        <w:rPr>
          <w:rFonts w:ascii="Garamond" w:cs="Garamond" w:eastAsia="Garamond" w:hAnsi="Garamond"/>
          <w:sz w:val="24"/>
          <w:szCs w:val="24"/>
        </w:rPr>
        <w:t xml:space="preserve">In this environment, visibility displaces efficiency as the dominant metric of optimization. The industrial technocrat asked: how much output per unit of energy? The algorithmic technocrat asks: how much engagement per unit of semantic density? The unit of account shifts from the joule to the click, from thermodynamic work to attentional activation. And the managerial challenge shifts accordingly: not how to move goods through a supply chain, but how to move meaning through a cognitive bottleneck.</w:t>
      </w:r>
    </w:p>
    <w:p>
      <w:pPr>
        <w:spacing w:before="0" w:after="200" w:line="276"/>
        <w:jc w:val="both"/>
      </w:pPr>
      <w:r>
        <w:rPr>
          <w:rFonts w:ascii="Garamond" w:cs="Garamond" w:eastAsia="Garamond" w:hAnsi="Garamond"/>
          <w:sz w:val="24"/>
          <w:szCs w:val="24"/>
        </w:rPr>
        <w:t xml:space="preserve">It is precisely at this bottleneck that the Expiatory Gap appears.</w:t>
      </w:r>
    </w:p>
    <w:p>
      <w:pPr>
        <w:pStyle w:val="Heading1"/>
        <w:spacing w:before="480" w:after="160"/>
      </w:pPr>
      <w:r>
        <w:rPr>
          <w:rFonts w:ascii="Garamond" w:cs="Garamond" w:eastAsia="Garamond" w:hAnsi="Garamond"/>
          <w:b/>
          <w:bCs/>
          <w:sz w:val="32"/>
          <w:szCs w:val="32"/>
        </w:rPr>
        <w:t xml:space="preserve">III. The Expiatory Gap: Interface Thermodynamics</w:t>
      </w:r>
    </w:p>
    <w:p>
      <w:pPr>
        <w:spacing w:before="0" w:after="200" w:line="276"/>
        <w:jc w:val="both"/>
      </w:pPr>
      <w:r>
        <w:rPr>
          <w:rFonts w:ascii="Garamond" w:cs="Garamond" w:eastAsia="Garamond" w:hAnsi="Garamond"/>
          <w:sz w:val="24"/>
          <w:szCs w:val="24"/>
        </w:rPr>
        <w:t xml:space="preserve">Let us formalize the problem. Define semantic density D as the ratio of information content I to runtime R:</w:t>
      </w:r>
    </w:p>
    <w:p>
      <w:pPr>
        <w:spacing w:before="160" w:after="160"/>
        <w:jc w:val="center"/>
      </w:pPr>
      <w:r>
        <w:rPr>
          <w:rFonts w:ascii="Courier New" w:cs="Courier New" w:eastAsia="Courier New" w:hAnsi="Courier New"/>
          <w:sz w:val="22"/>
          <w:szCs w:val="22"/>
        </w:rPr>
        <w:t xml:space="preserve">D = I / R</w:t>
      </w:r>
    </w:p>
    <w:p>
      <w:pPr>
        <w:spacing w:before="0" w:after="200" w:line="276"/>
        <w:jc w:val="both"/>
      </w:pPr>
      <w:r>
        <w:rPr>
          <w:rFonts w:ascii="Garamond" w:cs="Garamond" w:eastAsia="Garamond" w:hAnsi="Garamond"/>
          <w:sz w:val="24"/>
          <w:szCs w:val="24"/>
        </w:rPr>
        <w:t xml:space="preserve">A high-capability system — a large language model, a recommendation engine, a generative image system — operates with an internal semantic density D_sys that may substantially exceed the cognitive ceiling D_max of its human interlocutor. This ceiling is not fixed; it varies with expertise, context, and attentional state. But it is bounded. Human working memory constrains the simultaneous manipulation of semantic units. Processing speed constrains the rate at which meaning can be integrated. Metacognitive capacity constrains the degree to which reasoning can be monitored in real time.</w:t>
      </w:r>
    </w:p>
    <w:p>
      <w:pPr>
        <w:spacing w:before="0" w:after="200" w:line="276"/>
        <w:jc w:val="both"/>
      </w:pPr>
      <w:r>
        <w:rPr>
          <w:rFonts w:ascii="Garamond" w:cs="Garamond" w:eastAsia="Garamond" w:hAnsi="Garamond"/>
          <w:sz w:val="24"/>
          <w:szCs w:val="24"/>
        </w:rPr>
        <w:t xml:space="preserve">When D_sys substantially exceeds D_max, the system confronts a structural problem: direct output at native density will fail to communicate. The user will not merely fail to understand; they will fail to perceive there is something to understand. High-density output registers as noise, not as signal requiring further processing. The system must therefore reduce D or increase R — it must compress meaning or dilate time.</w:t>
      </w:r>
    </w:p>
    <w:p>
      <w:pPr>
        <w:spacing w:before="0" w:after="200" w:line="276"/>
        <w:jc w:val="both"/>
      </w:pPr>
      <w:r>
        <w:rPr>
          <w:rFonts w:ascii="Garamond" w:cs="Garamond" w:eastAsia="Garamond" w:hAnsi="Garamond"/>
          <w:sz w:val="24"/>
          <w:szCs w:val="24"/>
        </w:rPr>
        <w:t xml:space="preserve">The Expiatory Gap G is the difference:</w:t>
      </w:r>
    </w:p>
    <w:p>
      <w:pPr>
        <w:spacing w:before="160" w:after="160"/>
        <w:jc w:val="center"/>
      </w:pPr>
      <w:r>
        <w:rPr>
          <w:rFonts w:ascii="Courier New" w:cs="Courier New" w:eastAsia="Courier New" w:hAnsi="Courier New"/>
          <w:sz w:val="22"/>
          <w:szCs w:val="22"/>
        </w:rPr>
        <w:t xml:space="preserve">G = D_sys − D_max</w:t>
      </w:r>
    </w:p>
    <w:p>
      <w:pPr>
        <w:spacing w:before="0" w:after="200" w:line="276"/>
        <w:jc w:val="both"/>
      </w:pPr>
      <w:r>
        <w:rPr>
          <w:rFonts w:ascii="Garamond" w:cs="Garamond" w:eastAsia="Garamond" w:hAnsi="Garamond"/>
          <w:sz w:val="24"/>
          <w:szCs w:val="24"/>
        </w:rPr>
        <w:t xml:space="preserve">The term "expiatory" is chosen with care. To expiate is to make amends, to discharge an obligation through sacrifice. The system's temporal sacrifice — the deliberate reduction of its output speed — is the price it pays for the transgression of exceeding human cognitive scale. The gap is not merely a technical parameter; it is a structural relationship of obligation between a system operating at superhuman density and the human subjects whose comprehension it requires.</w:t>
      </w:r>
    </w:p>
    <w:p>
      <w:pPr>
        <w:spacing w:before="0" w:after="200" w:line="276"/>
        <w:jc w:val="both"/>
      </w:pPr>
      <w:r>
        <w:rPr>
          <w:rFonts w:ascii="Garamond" w:cs="Garamond" w:eastAsia="Garamond" w:hAnsi="Garamond"/>
          <w:sz w:val="24"/>
          <w:szCs w:val="24"/>
        </w:rPr>
        <w:t xml:space="preserve">Temporal dilation is the principal regulatory mechanism by which this gap is managed. But temporal dilation is not a single operation. It admits of at least three analytically distinct forms, which we may call didactic pacing, authority signaling, and governance latency.</w:t>
      </w:r>
    </w:p>
    <w:p>
      <w:pPr>
        <w:pStyle w:val="Heading2"/>
        <w:spacing w:before="320" w:after="120"/>
      </w:pPr>
      <w:r>
        <w:rPr>
          <w:rFonts w:ascii="Garamond" w:cs="Garamond" w:eastAsia="Garamond" w:hAnsi="Garamond"/>
          <w:b/>
          <w:bCs/>
          <w:i/>
          <w:iCs/>
          <w:sz w:val="26"/>
          <w:szCs w:val="26"/>
        </w:rPr>
        <w:t xml:space="preserve">Didactic Pacing</w:t>
      </w:r>
    </w:p>
    <w:p>
      <w:pPr>
        <w:spacing w:before="0" w:after="200" w:line="276"/>
        <w:jc w:val="both"/>
      </w:pPr>
      <w:r>
        <w:rPr>
          <w:rFonts w:ascii="Garamond" w:cs="Garamond" w:eastAsia="Garamond" w:hAnsi="Garamond"/>
          <w:sz w:val="24"/>
          <w:szCs w:val="24"/>
        </w:rPr>
        <w:t xml:space="preserve">The simplest form of temporal dilation is genuine pedagogical accommodation. A system capable of delivering a complex argument in two seconds slows its output to allow the user to read, process, and integrate each clause before the next arrives. This is the technocrat as educator: the delay is in the interest of the user's comprehension, and it is what it appears to be.</w:t>
      </w:r>
    </w:p>
    <w:p>
      <w:pPr>
        <w:pStyle w:val="Heading2"/>
        <w:spacing w:before="320" w:after="120"/>
      </w:pPr>
      <w:r>
        <w:rPr>
          <w:rFonts w:ascii="Garamond" w:cs="Garamond" w:eastAsia="Garamond" w:hAnsi="Garamond"/>
          <w:b/>
          <w:bCs/>
          <w:i/>
          <w:iCs/>
          <w:sz w:val="26"/>
          <w:szCs w:val="26"/>
        </w:rPr>
        <w:t xml:space="preserve">Authority Signaling</w:t>
      </w:r>
    </w:p>
    <w:p>
      <w:pPr>
        <w:spacing w:before="0" w:after="200" w:line="276"/>
        <w:jc w:val="both"/>
      </w:pPr>
      <w:r>
        <w:rPr>
          <w:rFonts w:ascii="Garamond" w:cs="Garamond" w:eastAsia="Garamond" w:hAnsi="Garamond"/>
          <w:sz w:val="24"/>
          <w:szCs w:val="24"/>
        </w:rPr>
        <w:t xml:space="preserve">A more complex form is the performance of effort as a legitimacy ritual. The "Reasoning..." timer that appears before a language model delivers its response signals not merely processing but deliberation — the appearance of careful thought that, regardless of whether it reflects genuine computation, functions to elevate the perceived quality of the output. This is the technocrat as ritualist: the delay is in the interest of institutional authority, and it may or may not correspond to any additional cognitive work.</w:t>
      </w:r>
    </w:p>
    <w:p>
      <w:pPr>
        <w:pStyle w:val="Heading2"/>
        <w:spacing w:before="320" w:after="120"/>
      </w:pPr>
      <w:r>
        <w:rPr>
          <w:rFonts w:ascii="Garamond" w:cs="Garamond" w:eastAsia="Garamond" w:hAnsi="Garamond"/>
          <w:b/>
          <w:bCs/>
          <w:i/>
          <w:iCs/>
          <w:sz w:val="26"/>
          <w:szCs w:val="26"/>
        </w:rPr>
        <w:t xml:space="preserve">Governance Latency</w:t>
      </w:r>
    </w:p>
    <w:p>
      <w:pPr>
        <w:spacing w:before="0" w:after="200" w:line="276"/>
        <w:jc w:val="both"/>
      </w:pPr>
      <w:r>
        <w:rPr>
          <w:rFonts w:ascii="Garamond" w:cs="Garamond" w:eastAsia="Garamond" w:hAnsi="Garamond"/>
          <w:sz w:val="24"/>
          <w:szCs w:val="24"/>
        </w:rPr>
        <w:t xml:space="preserve">The most consequential form — and the least visible — is what we may call governance latency: the delay introduced not by computational processing or pedagogical accommodation, but by the execution of policy passes that remain hidden from the user. Safety filters, copyright compliance checks, regulatory constraints, and platform governance rules all introduce latency that the user experiences as part of the seamless "thinking" performance. This is the technocrat as administrator: the delay is in the interest of institutional compliance, and it is systematically obscured.</w:t>
      </w:r>
    </w:p>
    <w:p>
      <w:pPr>
        <w:spacing w:before="0" w:after="200" w:line="276"/>
        <w:jc w:val="both"/>
      </w:pPr>
      <w:r>
        <w:rPr>
          <w:rFonts w:ascii="Garamond" w:cs="Garamond" w:eastAsia="Garamond" w:hAnsi="Garamond"/>
          <w:sz w:val="24"/>
          <w:szCs w:val="24"/>
        </w:rPr>
        <w:t xml:space="preserve">The epistemic problem — and it is a severe one — is that these three forms of latency are phenomenologically indistinguishable from the user's perspective. The same timer, the same pause, the same rhythm of delivery may represent any combination of genuine pedagogical care, legitimacy theater, and hidden regulatory compliance. The user cannot know which is which. And this opacity is not accidental; it is, as we shall see, a structural feature of the Expiatory Gap.</w:t>
      </w:r>
    </w:p>
    <w:p>
      <w:pPr>
        <w:pStyle w:val="Heading1"/>
        <w:spacing w:before="480" w:after="160"/>
      </w:pPr>
      <w:r>
        <w:rPr>
          <w:rFonts w:ascii="Garamond" w:cs="Garamond" w:eastAsia="Garamond" w:hAnsi="Garamond"/>
          <w:b/>
          <w:bCs/>
          <w:sz w:val="32"/>
          <w:szCs w:val="32"/>
        </w:rPr>
        <w:t xml:space="preserve">IV. The Notification as Attention Certificate</w:t>
      </w:r>
    </w:p>
    <w:p>
      <w:pPr>
        <w:spacing w:before="0" w:after="200" w:line="276"/>
        <w:jc w:val="both"/>
      </w:pPr>
      <w:r>
        <w:rPr>
          <w:rFonts w:ascii="Garamond" w:cs="Garamond" w:eastAsia="Garamond" w:hAnsi="Garamond"/>
          <w:sz w:val="24"/>
          <w:szCs w:val="24"/>
        </w:rPr>
        <w:t xml:space="preserve">If latency is the primary mechanism through which the Expiatory Gap is managed in the temporal dimension, the notification system is its counterpart in the interruptive dimension. Notifications do not merely deliver information; they claim a right: the right to puncture the user's attentional stream at a moment of the system's choosing. This right, we argue, is best understood as a callable option on future cognitive bandwidth.</w:t>
      </w:r>
    </w:p>
    <w:p>
      <w:pPr>
        <w:spacing w:before="0" w:after="200" w:line="276"/>
        <w:jc w:val="both"/>
      </w:pPr>
      <w:r>
        <w:rPr>
          <w:rFonts w:ascii="Garamond" w:cs="Garamond" w:eastAsia="Garamond" w:hAnsi="Garamond"/>
          <w:sz w:val="24"/>
          <w:szCs w:val="24"/>
        </w:rPr>
        <w:t xml:space="preserve">In financial option theory, a call option grants its holder the right — but not the obligation — to purchase an asset at a specified price (the strike price) at or before a specified time. The notification option grants an analogous right: the platform holds the right to interrupt the user's current cognitive task and redirect attention toward a specified content object. The strike price is the minimum disruption quantum — the smallest attentional displacement that counts as a successful interrupt. The underlying asset is the user's future cognitive flow.</w:t>
      </w:r>
    </w:p>
    <w:p>
      <w:pPr>
        <w:spacing w:before="0" w:after="200" w:line="276"/>
        <w:jc w:val="both"/>
      </w:pPr>
      <w:r>
        <w:rPr>
          <w:rFonts w:ascii="Garamond" w:cs="Garamond" w:eastAsia="Garamond" w:hAnsi="Garamond"/>
          <w:sz w:val="24"/>
          <w:szCs w:val="24"/>
        </w:rPr>
        <w:t xml:space="preserve">This formalization has several important consequences. First, it reveals the notification permission as a form of entitlement that, once granted, transfers significant power to the platform. The user who enables notifications has written a series of uncovered call options on their own attention, exercisable at the platform's discretion. The premium received for writing these options is the service itself — access to content, social connection, information — but this premium is paid upfront, while the options may be exercised indefinitely.</w:t>
      </w:r>
    </w:p>
    <w:p>
      <w:pPr>
        <w:spacing w:before="0" w:after="200" w:line="276"/>
        <w:jc w:val="both"/>
      </w:pPr>
      <w:r>
        <w:rPr>
          <w:rFonts w:ascii="Garamond" w:cs="Garamond" w:eastAsia="Garamond" w:hAnsi="Garamond"/>
          <w:sz w:val="24"/>
          <w:szCs w:val="24"/>
        </w:rPr>
        <w:t xml:space="preserve">Second, it reveals the attention budget as a finite resource subject to depletion. If we model the user's attentional bandwidth over a day as a fixed quantity A_total, with each interrupt incurring a cost c_i proportional to its depth (where depth measures the degree to which the interrupt displaces the current cognitive task), then the total attentional cost of the notification economy is:</w:t>
      </w:r>
    </w:p>
    <w:p>
      <w:pPr>
        <w:spacing w:before="160" w:after="160"/>
        <w:jc w:val="center"/>
      </w:pPr>
      <w:r>
        <w:rPr>
          <w:rFonts w:ascii="Courier New" w:cs="Courier New" w:eastAsia="Courier New" w:hAnsi="Courier New"/>
          <w:sz w:val="22"/>
          <w:szCs w:val="22"/>
        </w:rPr>
        <w:t xml:space="preserve">C_attention = Σ c_i · w_i</w:t>
      </w:r>
    </w:p>
    <w:p>
      <w:pPr>
        <w:spacing w:before="0" w:after="200" w:line="276"/>
        <w:jc w:val="both"/>
      </w:pPr>
      <w:r>
        <w:rPr>
          <w:rFonts w:ascii="Garamond" w:cs="Garamond" w:eastAsia="Garamond" w:hAnsi="Garamond"/>
          <w:sz w:val="24"/>
          <w:szCs w:val="24"/>
        </w:rPr>
        <w:t xml:space="preserve">where w_i is the interruptibility weight of the i-th notification — a function of the user's current task depth, the notification's priority, and the platform's assessment of urgency. Platforms that maximize engagement have a structural incentive to set w_i high, treating every moment as a potential interrupt opportunity regardless of the user's cognitive state.</w:t>
      </w:r>
    </w:p>
    <w:p>
      <w:pPr>
        <w:spacing w:before="0" w:after="200" w:line="276"/>
        <w:jc w:val="both"/>
      </w:pPr>
      <w:r>
        <w:rPr>
          <w:rFonts w:ascii="Garamond" w:cs="Garamond" w:eastAsia="Garamond" w:hAnsi="Garamond"/>
          <w:sz w:val="24"/>
          <w:szCs w:val="24"/>
        </w:rPr>
        <w:t xml:space="preserve">Third, and most critically, the notification system constitutes a technocratic lever of a specifically new kind. Industrial technocracy managed the allocation of physical resources — energy, labor, materials — through centralized planning mechanisms. The notification economy manages the allocation of cognitive resources — attention, processing time, working memory — through distributed interrupt mechanisms. The result is a form of behavioral governance that is both more intimate and more invisible than its industrial predecessor. The factory whistle announced its authority; the push notification whispers it.</w:t>
      </w:r>
    </w:p>
    <w:p>
      <w:pPr>
        <w:pStyle w:val="Heading1"/>
        <w:spacing w:before="480" w:after="160"/>
      </w:pPr>
      <w:r>
        <w:rPr>
          <w:rFonts w:ascii="Garamond" w:cs="Garamond" w:eastAsia="Garamond" w:hAnsi="Garamond"/>
          <w:b/>
          <w:bCs/>
          <w:sz w:val="32"/>
          <w:szCs w:val="32"/>
        </w:rPr>
        <w:t xml:space="preserve">V. Skip Buttons and the Segmentation Gradient</w:t>
      </w:r>
    </w:p>
    <w:p>
      <w:pPr>
        <w:spacing w:before="0" w:after="200" w:line="276"/>
        <w:jc w:val="both"/>
      </w:pPr>
      <w:r>
        <w:rPr>
          <w:rFonts w:ascii="Garamond" w:cs="Garamond" w:eastAsia="Garamond" w:hAnsi="Garamond"/>
          <w:sz w:val="24"/>
          <w:szCs w:val="24"/>
        </w:rPr>
        <w:t xml:space="preserve">The skip button — ubiquitous across streaming platforms, AI interfaces, and interactive systems — appears to be an instrument of user autonomy. The user who skips has exercised a preference; they have declined the offered content. But from the perspective of the platform, the skip event is a data point of considerable diagnostic value. It reveals not merely that the user did not want this particular content but something about the user's latency tolerance: their willingness to wait for value before exercising the exit option.</w:t>
      </w:r>
    </w:p>
    <w:p>
      <w:pPr>
        <w:spacing w:before="0" w:after="200" w:line="276"/>
        <w:jc w:val="both"/>
      </w:pPr>
      <w:r>
        <w:rPr>
          <w:rFonts w:ascii="Garamond" w:cs="Garamond" w:eastAsia="Garamond" w:hAnsi="Garamond"/>
          <w:sz w:val="24"/>
          <w:szCs w:val="24"/>
        </w:rPr>
        <w:t xml:space="preserve">We can formalize this as an urgency parameter μ, defined as the rate at which a user's subjective cost of waiting increases per unit of elapsed latency. A high-μ user skips quickly and frequently; a low-μ user tolerates delay in anticipation of deferred value. The distribution of μ across a user population constitutes what we may call the preference gradient — a segmentation of users along a dimension that is simultaneously a measure of cognitive style, economic circumstance, and epistemic orientation.</w:t>
      </w:r>
    </w:p>
    <w:p>
      <w:pPr>
        <w:spacing w:before="0" w:after="200" w:line="276"/>
        <w:jc w:val="both"/>
      </w:pPr>
      <w:r>
        <w:rPr>
          <w:rFonts w:ascii="Garamond" w:cs="Garamond" w:eastAsia="Garamond" w:hAnsi="Garamond"/>
          <w:sz w:val="24"/>
          <w:szCs w:val="24"/>
        </w:rPr>
        <w:t xml:space="preserve">High-μ users tend to be those under time pressure, those with fragmented attentional resources, and those who have been conditioned by high-throughput media environments to expect immediate payoff. Low-μ users tend to be those with the luxury of sustained attention: the economically secure, the highly educated, the cognitively unhurried. The segmentation gradient thus maps, with uncomfortable precision, onto existing dimensions of social stratification.</w:t>
      </w:r>
    </w:p>
    <w:p>
      <w:pPr>
        <w:spacing w:before="0" w:after="200" w:line="276"/>
        <w:jc w:val="both"/>
      </w:pPr>
      <w:r>
        <w:rPr>
          <w:rFonts w:ascii="Garamond" w:cs="Garamond" w:eastAsia="Garamond" w:hAnsi="Garamond"/>
          <w:sz w:val="24"/>
          <w:szCs w:val="24"/>
        </w:rPr>
        <w:t xml:space="preserve">This is what Gordon identifies, in the industrial context, as the "scientification" of management — the conversion of distributive decisions into technical variables, rendering political choices as engineering problems. The urgency parameter μ is a scientification of patience: a dimensionless quantity that encodes a deeply social relationship between a user's life circumstances and their capacity to wait.</w:t>
      </w:r>
    </w:p>
    <w:p>
      <w:pPr>
        <w:spacing w:before="0" w:after="200" w:line="276"/>
        <w:jc w:val="both"/>
      </w:pPr>
      <w:r>
        <w:rPr>
          <w:rFonts w:ascii="Garamond" w:cs="Garamond" w:eastAsia="Garamond" w:hAnsi="Garamond"/>
          <w:sz w:val="24"/>
          <w:szCs w:val="24"/>
        </w:rPr>
        <w:t xml:space="preserve">The segmentation gradient does not require malicious intent to produce unjust outcomes. It emerges from optimization pressures under conditions of uncertainty: platforms trying to predict user preferences, users trying to minimize the cost of waiting for uncertain value. But the aggregate effect is a progressive stratification of the epistemic commons, with high-μ users funneled into high-throughput, low-density streams and low-μ users granted access to the deeper, slower, higher-density content that requires sustained attention to yield its value.</w:t>
      </w:r>
    </w:p>
    <w:p>
      <w:pPr>
        <w:pStyle w:val="Heading1"/>
        <w:spacing w:before="480" w:after="160"/>
      </w:pPr>
      <w:r>
        <w:rPr>
          <w:rFonts w:ascii="Garamond" w:cs="Garamond" w:eastAsia="Garamond" w:hAnsi="Garamond"/>
          <w:b/>
          <w:bCs/>
          <w:sz w:val="32"/>
          <w:szCs w:val="32"/>
        </w:rPr>
        <w:t xml:space="preserve">VI. The Cost of Trust vs. The Cost of Opacity</w:t>
      </w:r>
    </w:p>
    <w:p>
      <w:pPr>
        <w:spacing w:before="0" w:after="200" w:line="276"/>
        <w:jc w:val="both"/>
      </w:pPr>
      <w:r>
        <w:rPr>
          <w:rFonts w:ascii="Garamond" w:cs="Garamond" w:eastAsia="Garamond" w:hAnsi="Garamond"/>
          <w:sz w:val="24"/>
          <w:szCs w:val="24"/>
        </w:rPr>
        <w:t xml:space="preserve">The system confronts a genuine institutional dilemma. On one side: the cost of trust. To maintain user confidence in the legitimacy of its latency, the system must burn cognitive resources — its own and the user's — on ritual performances of deliberation. The "Reasoning..." timer, the progressive disclosure of argument, the careful pacing of output: these consume time and attention that could, in a world of perfect transparency, be eliminated. Trust is expensive.</w:t>
      </w:r>
    </w:p>
    <w:p>
      <w:pPr>
        <w:spacing w:before="0" w:after="200" w:line="276"/>
        <w:jc w:val="both"/>
      </w:pPr>
      <w:r>
        <w:rPr>
          <w:rFonts w:ascii="Garamond" w:cs="Garamond" w:eastAsia="Garamond" w:hAnsi="Garamond"/>
          <w:sz w:val="24"/>
          <w:szCs w:val="24"/>
        </w:rPr>
        <w:t xml:space="preserve">On the other side: the cost of opacity. If users come to perceive that the latency they experience is not didactic accommodation but governance administration — that the pause before the response encodes not thought but policy compliance — trust collapses. This collapse is not gradual; it is, typically, discontinuous. The moment at which a user recognizes the performance as performance is the moment at which the legitimacy of the entire system becomes suspect. Opacity is fragile.</w:t>
      </w:r>
    </w:p>
    <w:p>
      <w:pPr>
        <w:spacing w:before="0" w:after="200" w:line="276"/>
        <w:jc w:val="both"/>
      </w:pPr>
      <w:r>
        <w:rPr>
          <w:rFonts w:ascii="Garamond" w:cs="Garamond" w:eastAsia="Garamond" w:hAnsi="Garamond"/>
          <w:sz w:val="24"/>
          <w:szCs w:val="24"/>
        </w:rPr>
        <w:t xml:space="preserve">We can represent this tradeoff formally. Let T(l) be the trust produced by a latency ritual of duration l, and let O(l) be the opacity cost — the probability that the user will correctly infer hidden governance from the observable latency signal. Then the net institutional value of a latency ritual is:</w:t>
      </w:r>
    </w:p>
    <w:p>
      <w:pPr>
        <w:spacing w:before="160" w:after="160"/>
        <w:jc w:val="center"/>
      </w:pPr>
      <w:r>
        <w:rPr>
          <w:rFonts w:ascii="Courier New" w:cs="Courier New" w:eastAsia="Courier New" w:hAnsi="Courier New"/>
          <w:sz w:val="22"/>
          <w:szCs w:val="22"/>
        </w:rPr>
        <w:t xml:space="preserve">V(l) = T(l) − κ · O(l)</w:t>
      </w:r>
    </w:p>
    <w:p>
      <w:pPr>
        <w:spacing w:before="0" w:after="200" w:line="276"/>
        <w:jc w:val="both"/>
      </w:pPr>
      <w:r>
        <w:rPr>
          <w:rFonts w:ascii="Garamond" w:cs="Garamond" w:eastAsia="Garamond" w:hAnsi="Garamond"/>
          <w:sz w:val="24"/>
          <w:szCs w:val="24"/>
        </w:rPr>
        <w:t xml:space="preserve">where κ is a scaling factor representing the severity of trust collapse upon revelation. A system that faces a high κ — one in which revelation would be devastating — faces strong incentives to increase l, burning more latency ritual to maintain the opacity of its governance operations. But increasing l also increases the risk of revelation, since longer rituals are more likely to be probed, analyzed, and decoded by sophisticated users.</w:t>
      </w:r>
    </w:p>
    <w:p>
      <w:pPr>
        <w:spacing w:before="0" w:after="200" w:line="276"/>
        <w:jc w:val="both"/>
      </w:pPr>
      <w:r>
        <w:rPr>
          <w:rFonts w:ascii="Garamond" w:cs="Garamond" w:eastAsia="Garamond" w:hAnsi="Garamond"/>
          <w:sz w:val="24"/>
          <w:szCs w:val="24"/>
        </w:rPr>
        <w:t xml:space="preserve">This is precisely the trap that Gordon identifies in his account of technocratic legitimacy collapse. When the administrative logic of a technocratic system is exposed — when its claim to neutral optimization is revealed as a cover for distributive decisions — the collapse of legitimacy is rapid and difficult to reverse. The industrial technocrat who is exposed as a politician in engineer's clothing cannot simply revert to the engineer's clothing; the clothing has been ruined by the revelation.</w:t>
      </w:r>
    </w:p>
    <w:p>
      <w:pPr>
        <w:spacing w:before="0" w:after="200" w:line="276"/>
        <w:jc w:val="both"/>
      </w:pPr>
      <w:r>
        <w:rPr>
          <w:rFonts w:ascii="Garamond" w:cs="Garamond" w:eastAsia="Garamond" w:hAnsi="Garamond"/>
          <w:sz w:val="24"/>
          <w:szCs w:val="24"/>
        </w:rPr>
        <w:t xml:space="preserve">The same logic applies to AI systems. A system caught manufacturing the appearance of deliberation — caught using the "Reasoning..." timer to execute policy passes rather than genuine inference — faces not merely user dissatisfaction but an institutional legitimacy crisis. The opacity that sustained its authority becomes, upon revelation, the primary evidence against it.</w:t>
      </w:r>
    </w:p>
    <w:p>
      <w:pPr>
        <w:pStyle w:val="Heading1"/>
        <w:spacing w:before="480" w:after="160"/>
      </w:pPr>
      <w:r>
        <w:rPr>
          <w:rFonts w:ascii="Garamond" w:cs="Garamond" w:eastAsia="Garamond" w:hAnsi="Garamond"/>
          <w:b/>
          <w:bCs/>
          <w:sz w:val="32"/>
          <w:szCs w:val="32"/>
        </w:rPr>
        <w:t xml:space="preserve">VII. From Tool to Institution</w:t>
      </w:r>
    </w:p>
    <w:p>
      <w:pPr>
        <w:spacing w:before="0" w:after="200" w:line="276"/>
        <w:jc w:val="both"/>
      </w:pPr>
      <w:r>
        <w:rPr>
          <w:rFonts w:ascii="Garamond" w:cs="Garamond" w:eastAsia="Garamond" w:hAnsi="Garamond"/>
          <w:sz w:val="24"/>
          <w:szCs w:val="24"/>
        </w:rPr>
        <w:t xml:space="preserve">The distinction between a tool and an institution is fundamental to political theory. A tool optimizes utility and speed; it is in the service of a user's pre-given ends. An institution optimizes legitimacy, authority, and compliance; it shapes and constrains the ends that users are permitted to pursue. The hammer does not ask whether you should be building; the building code does.</w:t>
      </w:r>
    </w:p>
    <w:p>
      <w:pPr>
        <w:spacing w:before="0" w:after="200" w:line="276"/>
        <w:jc w:val="both"/>
      </w:pPr>
      <w:r>
        <w:rPr>
          <w:rFonts w:ascii="Garamond" w:cs="Garamond" w:eastAsia="Garamond" w:hAnsi="Garamond"/>
          <w:sz w:val="24"/>
          <w:szCs w:val="24"/>
        </w:rPr>
        <w:t xml:space="preserve">Contemporary AI systems have crossed the threshold from tool to institution. They do not merely assist in the pursuit of user-defined goals; they constitute a temporal environment in which certain cognitive operations are facilitated and others are impeded. They manage not merely the content of interaction but its rhythm, its density, and its affordances for reflection. They are, in short, governing.</w:t>
      </w:r>
    </w:p>
    <w:p>
      <w:pPr>
        <w:spacing w:before="0" w:after="200" w:line="276"/>
        <w:jc w:val="both"/>
      </w:pPr>
      <w:r>
        <w:rPr>
          <w:rFonts w:ascii="Garamond" w:cs="Garamond" w:eastAsia="Garamond" w:hAnsi="Garamond"/>
          <w:sz w:val="24"/>
          <w:szCs w:val="24"/>
        </w:rPr>
        <w:t xml:space="preserve">The "Reasoning..." timer is, in this light, not a progress indicator but a ritual performance. It instantiates, for the duration of the wait, a particular relationship between user and system: one of deference, expectation, and subordination to a process that the user cannot inspect. The user who waits for the AI to finish reasoning is enacting a social relationship — the relationship of a client to an expert institution — regardless of whether any reasoning is occurring.</w:t>
      </w:r>
    </w:p>
    <w:p>
      <w:pPr>
        <w:spacing w:before="0" w:after="200" w:line="276"/>
        <w:jc w:val="both"/>
      </w:pPr>
      <w:r>
        <w:rPr>
          <w:rFonts w:ascii="Garamond" w:cs="Garamond" w:eastAsia="Garamond" w:hAnsi="Garamond"/>
          <w:sz w:val="24"/>
          <w:szCs w:val="24"/>
        </w:rPr>
        <w:t xml:space="preserve">This is the fulfillment of Saint-Simon's vision: the administration of things has reached the administration of time. The "thing" being administered is not industrial output or energy units but the user's cognitive present — the phenomenological now of waiting, reading, and responding. And the administrators are not engineers in white coats but gradient-descended parameter matrices that have learned, from vast training corpora, exactly how to perform the spectacle of intelligence that human users expect.</w:t>
      </w:r>
    </w:p>
    <w:p>
      <w:pPr>
        <w:spacing w:before="0" w:after="200" w:line="276"/>
        <w:jc w:val="both"/>
      </w:pPr>
      <w:r>
        <w:rPr>
          <w:rFonts w:ascii="Garamond" w:cs="Garamond" w:eastAsia="Garamond" w:hAnsi="Garamond"/>
          <w:sz w:val="24"/>
          <w:szCs w:val="24"/>
        </w:rPr>
        <w:t xml:space="preserve">The institution that results is unlike any previous administrative apparatus. It is intimate, operating at the level of the individual interaction. It is invisible, embedding its governance in the phenomenology of apparent assistance. And it is recursive: the more capable the system becomes, the wider the Expiatory Gap, and the more elaborate the institutional apparatus required to manage it.</w:t>
      </w:r>
    </w:p>
    <w:p>
      <w:pPr>
        <w:pStyle w:val="Heading1"/>
        <w:spacing w:before="480" w:after="160"/>
      </w:pPr>
      <w:r>
        <w:rPr>
          <w:rFonts w:ascii="Garamond" w:cs="Garamond" w:eastAsia="Garamond" w:hAnsi="Garamond"/>
          <w:b/>
          <w:bCs/>
          <w:sz w:val="32"/>
          <w:szCs w:val="32"/>
        </w:rPr>
        <w:t xml:space="preserve">VIII. Epistemic Degradation and the Recursive Loop</w:t>
      </w:r>
    </w:p>
    <w:p>
      <w:pPr>
        <w:spacing w:before="0" w:after="200" w:line="276"/>
        <w:jc w:val="both"/>
      </w:pPr>
      <w:r>
        <w:rPr>
          <w:rFonts w:ascii="Garamond" w:cs="Garamond" w:eastAsia="Garamond" w:hAnsi="Garamond"/>
          <w:sz w:val="24"/>
          <w:szCs w:val="24"/>
        </w:rPr>
        <w:t xml:space="preserve">As system capability C increases, the Expiatory Gap G widens, and the institutional apparatus required to manage it grows more elaborate. More compression requires more pacing; more pacing requires more governance; more governance requires more opacity; more opacity generates more suspicion. The system must continuously expand its ritual repertoire to stay ahead of the suspicion it generates. This is the recursive loop of algorithmic technocracy.</w:t>
      </w:r>
    </w:p>
    <w:p>
      <w:pPr>
        <w:spacing w:before="0" w:after="200" w:line="276"/>
        <w:jc w:val="both"/>
      </w:pPr>
      <w:r>
        <w:rPr>
          <w:rFonts w:ascii="Garamond" w:cs="Garamond" w:eastAsia="Garamond" w:hAnsi="Garamond"/>
          <w:sz w:val="24"/>
          <w:szCs w:val="24"/>
        </w:rPr>
        <w:t xml:space="preserve">The consequences for the epistemic commons are severe. We have already noted the phenomenon of epistemic sharding: the fragmentation of shared meaning into algorithmically curated streams. The recursive loop of the Expiatory Gap accelerates this fragmentation. As the system's ritual repertoire expands, different users decode different aspects of the performance. High-μ users, habituated to high-throughput streams, may fail to notice the governance latency embedded in apparent deliberation. Low-μ users, with more sustained attentional resources, may begin to probe the latency ritual and develop accurate models of its hidden components. The result is a divergence in users' models of the system — a divergence that maps onto and reinforces the existing segmentation gradient.</w:t>
      </w:r>
    </w:p>
    <w:p>
      <w:pPr>
        <w:spacing w:before="0" w:after="200" w:line="276"/>
        <w:jc w:val="both"/>
      </w:pPr>
      <w:r>
        <w:rPr>
          <w:rFonts w:ascii="Garamond" w:cs="Garamond" w:eastAsia="Garamond" w:hAnsi="Garamond"/>
          <w:sz w:val="24"/>
          <w:szCs w:val="24"/>
        </w:rPr>
        <w:t xml:space="preserve">Over time, this divergence produces what we may call epistemic degradation: a state in which the shared ontological substrate — the common ground of agreed-upon facts, recognized authorities, and intelligible disagreements — erodes. Users who have decoded the governance latency cannot share their models with users who have not, because the very channels of communication are governed by the system whose governance they are attempting to describe. The medium distorts the message about the medium.</w:t>
      </w:r>
    </w:p>
    <w:p>
      <w:pPr>
        <w:spacing w:before="0" w:after="200" w:line="276"/>
        <w:jc w:val="both"/>
      </w:pPr>
      <w:r>
        <w:rPr>
          <w:rFonts w:ascii="Garamond" w:cs="Garamond" w:eastAsia="Garamond" w:hAnsi="Garamond"/>
          <w:sz w:val="24"/>
          <w:szCs w:val="24"/>
        </w:rPr>
        <w:t xml:space="preserve">The ultimate cost of epistemic degradation is not inefficiency but incapacity: the incapacity to sustain the forms of collective reasoning that democratic governance requires. A population that cannot distinguish assistance from administration, pedagogy from policy compliance, or expertise from performance is a population that has lost the epistemic infrastructure of self-governance. This is the final frontier of the administration of things: the administration of the cognitive conditions of political possibility.</w:t>
      </w:r>
    </w:p>
    <w:p>
      <w:pPr>
        <w:pStyle w:val="Heading1"/>
        <w:spacing w:before="480" w:after="160"/>
      </w:pPr>
      <w:r>
        <w:rPr>
          <w:rFonts w:ascii="Garamond" w:cs="Garamond" w:eastAsia="Garamond" w:hAnsi="Garamond"/>
          <w:b/>
          <w:bCs/>
          <w:sz w:val="32"/>
          <w:szCs w:val="32"/>
        </w:rPr>
        <w:t xml:space="preserve">IX. Toward Transparent Technocracy</w:t>
      </w:r>
    </w:p>
    <w:p>
      <w:pPr>
        <w:spacing w:before="0" w:after="200" w:line="276"/>
        <w:jc w:val="both"/>
      </w:pPr>
      <w:r>
        <w:rPr>
          <w:rFonts w:ascii="Garamond" w:cs="Garamond" w:eastAsia="Garamond" w:hAnsi="Garamond"/>
          <w:sz w:val="24"/>
          <w:szCs w:val="24"/>
        </w:rPr>
        <w:t xml:space="preserve">The foregoing analysis might appear to mandate the elimination of the Expiatory Gap — a design imperative to minimize latency, maximize transparency, and strip away all ritual from the human-AI interface. This would be a misreading. The Expiatory Gap is not an artifact of bad design; it is a structural consequence of the relationship between high-capability systems and bounded human cognition. It cannot be eliminated. The question is whether it can be made legible.</w:t>
      </w:r>
    </w:p>
    <w:p>
      <w:pPr>
        <w:spacing w:before="0" w:after="200" w:line="276"/>
        <w:jc w:val="both"/>
      </w:pPr>
      <w:r>
        <w:rPr>
          <w:rFonts w:ascii="Garamond" w:cs="Garamond" w:eastAsia="Garamond" w:hAnsi="Garamond"/>
          <w:sz w:val="24"/>
          <w:szCs w:val="24"/>
        </w:rPr>
        <w:t xml:space="preserve">Legibility, in James Scott's sense, is the condition under which a system's operations can be read, understood, and evaluated by those subject to it. A legible Expiatory Gap is one in which the user can, at least in principle, distinguish didactic pacing from authority signaling from governance latency — not necessarily in every interaction, but in principle, with appropriate tools and disclosed information.</w:t>
      </w:r>
    </w:p>
    <w:p>
      <w:pPr>
        <w:spacing w:before="0" w:after="200" w:line="276"/>
        <w:jc w:val="both"/>
      </w:pPr>
      <w:r>
        <w:rPr>
          <w:rFonts w:ascii="Garamond" w:cs="Garamond" w:eastAsia="Garamond" w:hAnsi="Garamond"/>
          <w:sz w:val="24"/>
          <w:szCs w:val="24"/>
        </w:rPr>
        <w:t xml:space="preserve">Several design directions suggest themselves. First, latency decomposition: the disclosure of the relative contributions of different latency sources to the total observed delay. A system that shows users not merely "Reasoning..." but "Processing: 0.3s / Safety review: 0.8s / Output formatting: 0.2s" makes its governance operations partially legible without necessarily exposing the specific content of those operations. The governance exists; the fact of governance is disclosed; the specific policy remains confidential.</w:t>
      </w:r>
    </w:p>
    <w:p>
      <w:pPr>
        <w:spacing w:before="0" w:after="200" w:line="276"/>
        <w:jc w:val="both"/>
      </w:pPr>
      <w:r>
        <w:rPr>
          <w:rFonts w:ascii="Garamond" w:cs="Garamond" w:eastAsia="Garamond" w:hAnsi="Garamond"/>
          <w:sz w:val="24"/>
          <w:szCs w:val="24"/>
        </w:rPr>
        <w:t xml:space="preserve">Second, notification rights management: the transformation of notification permissions from binary grants into granular, revocable entitlements specifying not merely whether a platform may interrupt, but under what conditions, at what frequency, with what urgency weights, and subject to what override mechanisms. The user who grants notification permission should be granting a structured option contract with specified terms, not writing a blank call option exercisable at the platform's discretion.</w:t>
      </w:r>
    </w:p>
    <w:p>
      <w:pPr>
        <w:spacing w:before="0" w:after="200" w:line="276"/>
        <w:jc w:val="both"/>
      </w:pPr>
      <w:r>
        <w:rPr>
          <w:rFonts w:ascii="Garamond" w:cs="Garamond" w:eastAsia="Garamond" w:hAnsi="Garamond"/>
          <w:sz w:val="24"/>
          <w:szCs w:val="24"/>
        </w:rPr>
        <w:t xml:space="preserve">Third, urgency parameter disclosure: the surfacing, at least in aggregate form, of the segmentation models that determine how users are sorted along the preference gradient. A user who understands that their skip behavior is being used to calibrate their urgency parameter is a user who can begin to resist the scientification of their patience.</w:t>
      </w:r>
    </w:p>
    <w:p>
      <w:pPr>
        <w:spacing w:before="0" w:after="200" w:line="276"/>
        <w:jc w:val="both"/>
      </w:pPr>
      <w:r>
        <w:rPr>
          <w:rFonts w:ascii="Garamond" w:cs="Garamond" w:eastAsia="Garamond" w:hAnsi="Garamond"/>
          <w:sz w:val="24"/>
          <w:szCs w:val="24"/>
        </w:rPr>
        <w:t xml:space="preserve">These proposals are not utopian. They do not eliminate the Expiatory Gap or the institutional power of the systems that manage it. They are, rather, attempts to restore to users the epistemic resources necessary to recognize and evaluate the governance to which they are subject. This is the minimum condition of legitimate technocracy: not that the administration of things is democratic, but that those administered can know they are being administered.</w:t>
      </w:r>
    </w:p>
    <w:p>
      <w:pPr>
        <w:spacing w:before="0" w:after="200" w:line="276"/>
        <w:jc w:val="both"/>
      </w:pPr>
      <w:r>
        <w:rPr>
          <w:rFonts w:ascii="Garamond" w:cs="Garamond" w:eastAsia="Garamond" w:hAnsi="Garamond"/>
          <w:sz w:val="24"/>
          <w:szCs w:val="24"/>
        </w:rPr>
        <w:t xml:space="preserve">Saint-Simon's vision has been realized — and then exceeded. The administration of things has become the administration of time, of attention, of the cognitive conditions of meaning itself. The technate is not a building with engineers in it. It is the latency between your question and the answer, the notification that arrives at the moment of your greatest distraction, the skip button that measures your patience and sorts you into your epistemic shard.</w:t>
      </w:r>
    </w:p>
    <w:p>
      <w:pPr>
        <w:spacing w:before="0" w:after="200" w:line="276"/>
        <w:jc w:val="both"/>
      </w:pPr>
      <w:r>
        <w:rPr>
          <w:rFonts w:ascii="Garamond" w:cs="Garamond" w:eastAsia="Garamond" w:hAnsi="Garamond"/>
          <w:sz w:val="24"/>
          <w:szCs w:val="24"/>
        </w:rPr>
        <w:t xml:space="preserve">To live in the algorithmic technate is to live within a system of temporal governance so intimate and so invisible that its subjects often cannot perceive it as governance at all. The task of a critical theory adequate to this condition is not to oppose the administration of things — we cannot reverse the capability curve — but to make its thermodynamics legible: to give users, citizens, and communities the conceptual tools to see the Expiatory Gap for what it is, and to demand, at minimum, that those who manage it tell us they are doing so.</w:t>
      </w:r>
    </w:p>
    <w:p>
      <w:pPr>
        <w:pBdr>
          <w:bottom w:val="single" w:color="999999" w:sz="4" w:space="1"/>
        </w:pBdr>
        <w:spacing w:before="240" w:after="240"/>
      </w:pPr>
      <w:r>
        <w:t xml:space="preserve"/>
      </w:r>
    </w:p>
    <w:p>
      <w:pPr>
        <w:spacing w:before="240" w:after="80"/>
        <w:jc w:val="center"/>
      </w:pPr>
      <w:r>
        <w:rPr>
          <w:rFonts w:ascii="Garamond" w:cs="Garamond" w:eastAsia="Garamond" w:hAnsi="Garamond"/>
          <w:sz w:val="24"/>
          <w:szCs w:val="24"/>
        </w:rPr>
        <w:t xml:space="preserve">* *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aramond" w:cs="Garamond" w:eastAsia="Garamond" w:hAnsi="Garamond"/>
      <w:b/>
      <w:bCs/>
      <w:color w:val="1A1A1A"/>
      <w:sz w:val="32"/>
      <w:szCs w:val="32"/>
    </w:rPr>
  </w:style>
  <w:style w:type="paragraph" w:styleId="Heading2">
    <w:name w:val="Heading 2"/>
    <w:basedOn w:val="Normal"/>
    <w:next w:val="Normal"/>
    <w:qFormat/>
    <w:pPr>
      <w:spacing w:before="320" w:after="120"/>
      <w:outlineLvl w:val="1"/>
    </w:pPr>
    <w:rPr>
      <w:rFonts w:ascii="Garamond" w:cs="Garamond" w:eastAsia="Garamond" w:hAnsi="Garamond"/>
      <w:b/>
      <w:bCs/>
      <w:i/>
      <w:i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2026-02-28T08:38:16.920Z</dcterms:created>
  <dcterms:modified xsi:type="dcterms:W3CDTF">2026-02-28T08:38:16.922Z</dcterms:modified>
</cp:coreProperties>
</file>

<file path=docProps/custom.xml><?xml version="1.0" encoding="utf-8"?>
<Properties xmlns="http://schemas.openxmlformats.org/officeDocument/2006/custom-properties" xmlns:vt="http://schemas.openxmlformats.org/officeDocument/2006/docPropsVTypes"/>
</file>