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70103" w14:textId="77777777" w:rsidR="00100795" w:rsidRDefault="00000000">
      <w:pPr>
        <w:pStyle w:val="aa"/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以患者健康资产为核心的云边协同数字医疗系统产品架构说明书</w:t>
      </w:r>
    </w:p>
    <w:p w14:paraId="0F0EB3AC" w14:textId="77777777" w:rsidR="00100795" w:rsidRDefault="00000000">
      <w:pPr>
        <w:pStyle w:val="1"/>
        <w:rPr>
          <w:lang w:eastAsia="zh-CN"/>
        </w:rPr>
      </w:pPr>
      <w:r>
        <w:rPr>
          <w:lang w:eastAsia="zh-CN"/>
        </w:rPr>
        <w:t>一、项目概述与定位</w:t>
      </w:r>
    </w:p>
    <w:p w14:paraId="420F9065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本系统并非传统的医院信息系统（HIS），而是一套以“患者健康资产”为核心、基于“云边协同”架构的数字医疗进化体。系统深度贴合国家紧密型县域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共体建设、分级诊疗、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保DRG/DIP支付改革、中医药振兴发展等核心政策导向，旨在打破传统医疗信息化的“数据孤岛”与“功能固化”瓶颈，通过分布式部署与标准化数据治理，在保障数据主权与隐私安全的前提下，助力医疗机构落地分级诊疗、实现</w:t>
      </w:r>
      <w:proofErr w:type="gramStart"/>
      <w:r>
        <w:rPr>
          <w:lang w:eastAsia="zh-CN"/>
        </w:rPr>
        <w:t>医保控费</w:t>
      </w:r>
      <w:proofErr w:type="gramEnd"/>
      <w:r>
        <w:rPr>
          <w:lang w:eastAsia="zh-CN"/>
        </w:rPr>
        <w:t>，同时释放医疗数据的商业与科研双重价值，为县域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共</w:t>
      </w:r>
      <w:proofErr w:type="gramStart"/>
      <w:r>
        <w:rPr>
          <w:lang w:eastAsia="zh-CN"/>
        </w:rPr>
        <w:t>体提供</w:t>
      </w:r>
      <w:proofErr w:type="gramEnd"/>
      <w:r>
        <w:rPr>
          <w:lang w:eastAsia="zh-CN"/>
        </w:rPr>
        <w:t>一体化的数字医疗解决方案，帮助机构充分享受政策红利。</w:t>
      </w:r>
    </w:p>
    <w:p w14:paraId="6A235465" w14:textId="77777777" w:rsidR="00100795" w:rsidRDefault="00000000">
      <w:pPr>
        <w:pStyle w:val="1"/>
        <w:rPr>
          <w:lang w:eastAsia="zh-CN"/>
        </w:rPr>
      </w:pPr>
      <w:r>
        <w:rPr>
          <w:lang w:eastAsia="zh-CN"/>
        </w:rPr>
        <w:t>二、整体产品架构总</w:t>
      </w:r>
      <w:proofErr w:type="gramStart"/>
      <w:r>
        <w:rPr>
          <w:lang w:eastAsia="zh-CN"/>
        </w:rPr>
        <w:t>览</w:t>
      </w:r>
      <w:proofErr w:type="gramEnd"/>
    </w:p>
    <w:p w14:paraId="6869A17F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系统通过分层架构设计，构建了“云边协同、动静解耦、语义统一、业务支撑”的完整体系，全面适配国家政策要求，支撑分级诊疗、</w:t>
      </w:r>
      <w:proofErr w:type="gramStart"/>
      <w:r>
        <w:rPr>
          <w:lang w:eastAsia="zh-CN"/>
        </w:rPr>
        <w:t>医保控费</w:t>
      </w:r>
      <w:proofErr w:type="gramEnd"/>
      <w:r>
        <w:rPr>
          <w:lang w:eastAsia="zh-CN"/>
        </w:rPr>
        <w:t>的落地，整体架构如下图所示：</w:t>
      </w:r>
    </w:p>
    <w:p w14:paraId="37657A2D" w14:textId="77670175" w:rsidR="00100795" w:rsidRDefault="00B068FA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711D060" wp14:editId="7DBC4144">
            <wp:extent cx="5486400" cy="8229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CDF8C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lastRenderedPageBreak/>
        <w:t>价值与政策层：提供全局的政策考核、</w:t>
      </w:r>
      <w:proofErr w:type="gramStart"/>
      <w:r>
        <w:rPr>
          <w:lang w:eastAsia="zh-CN"/>
        </w:rPr>
        <w:t>医保控费</w:t>
      </w:r>
      <w:proofErr w:type="gramEnd"/>
      <w:r>
        <w:rPr>
          <w:lang w:eastAsia="zh-CN"/>
        </w:rPr>
        <w:t>与价值释放能力，支撑政策落地；</w:t>
      </w:r>
    </w:p>
    <w:p w14:paraId="47E8D779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云端控制面：全局的能力中枢，负责元数据、知识图谱、规则引擎的统一管理；</w:t>
      </w:r>
    </w:p>
    <w:p w14:paraId="4A9F2016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云边协同通道：实现云端能力下沉与边缘数据同步，保障分布式节点的协同；</w:t>
      </w:r>
    </w:p>
    <w:p w14:paraId="559ED1BE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边缘执行面：分布式的本地业务节点，保障本地业务闭环，支撑基层服务能力；</w:t>
      </w:r>
    </w:p>
    <w:p w14:paraId="48E1597D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业务应用层：三大核心业务支柱，覆盖诊疗、中药炮制、药品</w:t>
      </w:r>
      <w:proofErr w:type="gramStart"/>
      <w:r>
        <w:rPr>
          <w:lang w:eastAsia="zh-CN"/>
        </w:rPr>
        <w:t>供应全</w:t>
      </w:r>
      <w:proofErr w:type="gramEnd"/>
      <w:r>
        <w:rPr>
          <w:lang w:eastAsia="zh-CN"/>
        </w:rPr>
        <w:t>链条；</w:t>
      </w:r>
    </w:p>
    <w:p w14:paraId="0832E6BB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数据治理层：语义棱镜数据治理引擎，实现非标数据的标准化沉淀；</w:t>
      </w:r>
    </w:p>
    <w:p w14:paraId="23CA5101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基础设施层：提供物联网、云原生、安全合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的基础支撑。</w:t>
      </w:r>
    </w:p>
    <w:p w14:paraId="23924844" w14:textId="77777777" w:rsidR="00100795" w:rsidRDefault="00000000">
      <w:pPr>
        <w:pStyle w:val="1"/>
        <w:rPr>
          <w:lang w:eastAsia="zh-CN"/>
        </w:rPr>
      </w:pPr>
      <w:r>
        <w:rPr>
          <w:lang w:eastAsia="zh-CN"/>
        </w:rPr>
        <w:t>三、核心架构逻辑：云端控制面与边缘执行面</w:t>
      </w:r>
    </w:p>
    <w:p w14:paraId="3DEB1552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为了平衡“数据的物理安全性（本地化）”与“科研商业价值（全局化）”的核心矛盾，系统采用了逻辑集中、部署分散的云边协同架构，完美适配县域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共体的分布式服务场景，同时为分级诊疗的资源下沉提供技术支撑。</w:t>
      </w:r>
    </w:p>
    <w:p w14:paraId="7E9DC29A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云端控制面：全局能力中枢</w:t>
      </w:r>
    </w:p>
    <w:p w14:paraId="053F89A8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云端作为全局的控制与能力中枢，采用SaaS化部署，负责全局资源的调度与标准化能力的输出，同时为政策考核与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保管</w:t>
      </w:r>
      <w:proofErr w:type="gramStart"/>
      <w:r>
        <w:rPr>
          <w:lang w:eastAsia="zh-CN"/>
        </w:rPr>
        <w:t>控提供</w:t>
      </w:r>
      <w:proofErr w:type="gramEnd"/>
      <w:r>
        <w:rPr>
          <w:lang w:eastAsia="zh-CN"/>
        </w:rPr>
        <w:t>全局数据支撑，具体职责包括：</w:t>
      </w:r>
    </w:p>
    <w:p w14:paraId="7190A14F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全局元数据管理（MDM）：统一管理全区域的医疗机构、医务人员、药品药材、患者等核心资源的主数据，确保全局数据的一致性，支撑政策考核的数据统计；</w:t>
      </w:r>
    </w:p>
    <w:p w14:paraId="54894524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医学知识图谱：构建覆盖中西医的医学知识体系，为AI辅助诊断、智能审方、语义映射提供知识支撑，助力基层能力提升；</w:t>
      </w:r>
    </w:p>
    <w:p w14:paraId="312E5038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语义规则引擎：维护语义棱镜的映射规则库，支持规则的动态更新与下发，适配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保政策的动态调整；</w:t>
      </w:r>
    </w:p>
    <w:p w14:paraId="58C83B86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lastRenderedPageBreak/>
        <w:t>脱敏科研数据仓库：汇聚各边缘节点上传的脱敏、标准化后的数据，为全局科研与商业分析提供数据基础；</w:t>
      </w:r>
    </w:p>
    <w:p w14:paraId="14A072F3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联邦学习平台：支撑跨节点的隐私保护模型训练，实现数据“可用不可见”的全局协作；</w:t>
      </w:r>
    </w:p>
    <w:p w14:paraId="6A66A400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政策考核中枢：提供县域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共体的政策指标实时监控，包括基层就诊率、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保基金支出率等核心考核指标的统计分析。</w:t>
      </w:r>
    </w:p>
    <w:p w14:paraId="7EAE7807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边缘执行面：本地业务闭环</w:t>
      </w:r>
    </w:p>
    <w:p w14:paraId="063F9131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在县域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共体的各个节点（县级医院、乡镇卫生院、共享中药房、村卫生室等），系统部署独立的边缘业务实例，保障本地业务的自主运行，让基层机构也能享受到云端的能力输出，具体能力包括：</w:t>
      </w:r>
    </w:p>
    <w:p w14:paraId="4FB1C6F6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离线生存能力：边缘节点具备完整的本地业务闭环能力，在网络中断时仍可独立完成诊疗、煎药、库存管理等核心业务，网络恢复后自动同步数据；</w:t>
      </w:r>
    </w:p>
    <w:p w14:paraId="722AB41D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硬件实时控制：通过MQTT物联网协议，实现对本地智能设备的实时控制，包括智能煎药机、调剂设备、温湿度传感器等，保障硬件的低延迟响应；</w:t>
      </w:r>
    </w:p>
    <w:p w14:paraId="6B4CBA30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原始数据主权：所有患者原始诊疗数据、设备原始传感数据均存储在边缘节点本地，严格保障数据的物理主权，原始数据永不离开本地节点；</w:t>
      </w:r>
    </w:p>
    <w:p w14:paraId="798FB4CD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本地业务处理：承担本地的业务逻辑执行，包括问诊、开方、审方、煎药控制、库存管理等，保障业务的本地响应速度，让基层也能享受到标准化的服务能力；</w:t>
      </w:r>
    </w:p>
    <w:p w14:paraId="191815EF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能力下沉通道：通过云边协同，将云端的AI辅助诊断、智能审方、医保控费规则等能力下沉到边缘节点，支撑基层机构的服务能力提升。</w:t>
      </w:r>
    </w:p>
    <w:p w14:paraId="4C0E363C" w14:textId="77777777" w:rsidR="00100795" w:rsidRDefault="00000000">
      <w:pPr>
        <w:pStyle w:val="1"/>
        <w:rPr>
          <w:lang w:eastAsia="zh-CN"/>
        </w:rPr>
      </w:pPr>
      <w:r>
        <w:rPr>
          <w:lang w:eastAsia="zh-CN"/>
        </w:rPr>
        <w:t>四、模块化拆分体系：资源资产化与动作组件化</w:t>
      </w:r>
    </w:p>
    <w:p w14:paraId="58436F6A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系统打破了传统HIS按科室、按流程的功能模块划分方式，将系统解耦为“静态资源资产”与“动态动作组件”两大维度，实现了业务的灵活组合与扩展，可快速适配政策的动态调整。</w:t>
      </w:r>
    </w:p>
    <w:p w14:paraId="2E162A9F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4.1 </w:t>
      </w:r>
      <w:r>
        <w:rPr>
          <w:lang w:eastAsia="zh-CN"/>
        </w:rPr>
        <w:t>静态资源：可沉淀的健康资产</w:t>
      </w:r>
    </w:p>
    <w:p w14:paraId="236DEBEE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将医疗场景中的核心实体转化为可沉淀、可运营的数字资产，每个资产都具备完整的生命周期管理与标准化属性，为政策考核与医保控费提供统一的数据基础，核心资产包括：</w:t>
      </w:r>
    </w:p>
    <w:p w14:paraId="4B00DEF4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Patient-Asset（患者全生命周期资产）：整合患者跨机构、跨时间的所有诊疗、健康、用药数据，构建患者的360°健康画像，作为核心的健康资产，支撑慢病管理与分级诊疗；</w:t>
      </w:r>
    </w:p>
    <w:p w14:paraId="7B761A24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Materia-MDM（标准药材资产）：构建统一的标准药材库，覆盖药材的基原、炮制规范、质检标准、溯源信息等，实现药材的标准化管理，适配中医药医保支付的要求；</w:t>
      </w:r>
    </w:p>
    <w:p w14:paraId="7CD5DFAB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Practitioner-Asset（医务人员资产）：统一管理医务人员的资质、执业范围、诊疗特长、服务记录等，支撑人才的精准匹配与能力评估，助力人才下沉；</w:t>
      </w:r>
    </w:p>
    <w:p w14:paraId="33F2A86B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Organization-Asset（医疗机构资产）：管理医共体内各机构的服务能力、资源配置、业务数据等，支撑区域资源的优化调度，为分级诊疗提供机构能力画像。</w:t>
      </w:r>
    </w:p>
    <w:p w14:paraId="7F33F01A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动态动作：可插拔的业务组件</w:t>
      </w:r>
    </w:p>
    <w:p w14:paraId="068F107B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将业务逻辑拆解为独立、可插拔的原子动作组件，每个组件负责单一的业务能力，可根据不同的业务场景灵活组合，快速适配新的政策要求，核心动作组件包括：</w:t>
      </w:r>
    </w:p>
    <w:p w14:paraId="3977FC0D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Prescribe-Action（开方组件）：负责处方的开具、校验、提交能力，可适配西医处方与中医处方，内置医保控费规则；</w:t>
      </w:r>
    </w:p>
    <w:p w14:paraId="4B0D4F7F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Decoction-Control（煎药控制组件）：负责智能煎药设备的任务下发、工艺参数控制、状态监控，实现煎药过程的标准化；</w:t>
      </w:r>
    </w:p>
    <w:p w14:paraId="58AF8DA2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Stock-Transfer（调拨组件）：负责医共体内药品的跨机构调拨申请、审批、执行、入库全流程管理；</w:t>
      </w:r>
    </w:p>
    <w:p w14:paraId="61D9592A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lastRenderedPageBreak/>
        <w:t>Consult-Action（问诊组件）：负责在线问诊的会话管理、病历记录、交互能力，支持基层首诊与远程会诊；</w:t>
      </w:r>
    </w:p>
    <w:p w14:paraId="6A3E8DE0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Audit-Action（审方组件）：负责处方的智能审核，包括配伍禁忌、剂量校验、适应症匹配、医保规则校验等；</w:t>
      </w:r>
    </w:p>
    <w:p w14:paraId="7CD5C09C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Referral-Action（转诊组件）：负责双向转诊的申请、审核、流转全流程，支撑分级诊疗的转诊闭环；</w:t>
      </w:r>
    </w:p>
    <w:p w14:paraId="2F4B12A4" w14:textId="77777777" w:rsidR="00100795" w:rsidRDefault="00000000">
      <w:pPr>
        <w:pStyle w:val="a0"/>
        <w:ind w:firstLine="0"/>
        <w:rPr>
          <w:rFonts w:hint="eastAsia"/>
        </w:rPr>
      </w:pPr>
      <w:r>
        <w:t>Trace-Action（追溯组件）：负责药品全链路的溯源信息记录与查询能力。</w:t>
      </w:r>
    </w:p>
    <w:p w14:paraId="6E16DBB1" w14:textId="77777777" w:rsidR="00100795" w:rsidRDefault="00000000">
      <w:pPr>
        <w:pStyle w:val="1"/>
      </w:pPr>
      <w:r>
        <w:t>五、核心数据治理引擎：语义棱镜（</w:t>
      </w:r>
      <w:r>
        <w:t>Semantic Prism</w:t>
      </w:r>
      <w:r>
        <w:t>）</w:t>
      </w:r>
    </w:p>
    <w:p w14:paraId="7DF70564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语义棱镜是系统的核心数据治理机制，解决了医疗现场数据非标、零散的痛点，实现了“动作是零散的，产出是标准化的”的核心目标，为医保控费、政策考核提供高质量的标准化数据，保障最终沉淀的数据是具备科研价值的结构化资产。</w:t>
      </w:r>
    </w:p>
    <w:p w14:paraId="0896C358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零散捕获：兼容非标现场数据</w:t>
      </w:r>
    </w:p>
    <w:p w14:paraId="1AD0BDBE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系统具备极强的异构数据兼容能力，可容忍医疗现场的非标、零散数据输入，无需强制现场人员改变操作习惯，支持的数据源包括：</w:t>
      </w:r>
    </w:p>
    <w:p w14:paraId="550BF365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中医非标辨证数据：如医生的口语化辨证描述、个性化的术语表达；</w:t>
      </w:r>
    </w:p>
    <w:p w14:paraId="46854D92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物联网原始传感数据：如煎药设备的温度、压力、时间等原始数值；</w:t>
      </w:r>
    </w:p>
    <w:p w14:paraId="02FDB8C1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异构系统遗留数据：如各机构原有HIS、LIS系统的非标准格式数据；</w:t>
      </w:r>
    </w:p>
    <w:p w14:paraId="5AA56801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非结构化文本数据：如手写病历、自由文本的诊断记录。</w:t>
      </w:r>
    </w:p>
    <w:p w14:paraId="1693C86F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棱镜折射：</w:t>
      </w:r>
      <w:r>
        <w:rPr>
          <w:lang w:eastAsia="zh-CN"/>
        </w:rPr>
        <w:t>AI</w:t>
      </w:r>
      <w:r>
        <w:rPr>
          <w:lang w:eastAsia="zh-CN"/>
        </w:rPr>
        <w:t>驱动的语义映射</w:t>
      </w:r>
    </w:p>
    <w:p w14:paraId="3E7CFB2E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通过语义映射层，系统利用AI与医学本体论，将零散的非标数据实时重构、翻译为标准格式，核心技术包括：</w:t>
      </w:r>
    </w:p>
    <w:p w14:paraId="5BBCD7AB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医学本体论：基于SNOMED CT、LOINC、中医术语标准等医学本体，构建统一的语义词典，解决术语的歧义问题；</w:t>
      </w:r>
    </w:p>
    <w:p w14:paraId="76AAB1A8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lastRenderedPageBreak/>
        <w:t>FHIR标准适配：将标准化后的数据映射为HL7 FHIR标准资源模型，实现数据的结构化与互操作性，支持跨系统的数据交换，适配医保局的数据上报要求；</w:t>
      </w:r>
    </w:p>
    <w:p w14:paraId="0D6E6183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AI语义映射：通过大语言模型与规则引擎结合，将非标文本、原始数值自动映射到标准术语与标准字段，例如将中医口语化的“湿气重”映射为标准的体质分类术语，将传感器原始温度映射为标准的煎药工艺参数；</w:t>
      </w:r>
    </w:p>
    <w:p w14:paraId="5E9F8C38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动态规则更新：云端可动态更新语义映射规则，并下发到边缘节点，保障映射能力的持续迭代，快速适配医保政策的调整。</w:t>
      </w:r>
    </w:p>
    <w:p w14:paraId="29D331F0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标准化资产：可计算的高质量数据</w:t>
      </w:r>
    </w:p>
    <w:p w14:paraId="262F85C0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经过语义棱镜处理后，最终沉淀到云端的数据是统一格式、结构化、可计算的标准化资产，具备以下特征：</w:t>
      </w:r>
    </w:p>
    <w:p w14:paraId="082AEE1F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结构化：所有数据都遵循FHIR标准模型，具备统一的字段与格式，可直接用于医保结算、政策考核、数据分析与模型训练；</w:t>
      </w:r>
    </w:p>
    <w:p w14:paraId="71FDC6CB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可计算：标准化的术语与数值，支持AI模型的直接调用，无需额外的数据清洗；</w:t>
      </w:r>
    </w:p>
    <w:p w14:paraId="2FC0480B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高价值：消除了数据的噪声与歧义，保障了数据的质量，为医保控费、科研与商业分析提供了高质量的“真金白银”。</w:t>
      </w:r>
    </w:p>
    <w:p w14:paraId="7E988FDB" w14:textId="77777777" w:rsidR="00100795" w:rsidRDefault="00000000">
      <w:pPr>
        <w:pStyle w:val="1"/>
        <w:rPr>
          <w:lang w:eastAsia="zh-CN"/>
        </w:rPr>
      </w:pPr>
      <w:r>
        <w:rPr>
          <w:lang w:eastAsia="zh-CN"/>
        </w:rPr>
        <w:t>六、业务版图：三大核心业务支柱</w:t>
      </w:r>
    </w:p>
    <w:p w14:paraId="3DD3B7CC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在底层的云边协同架构与标准化能力之上，系统支撑起三大核心业务领域，覆盖诊疗、药品生产、药品供应的全链条服务，全面落地分级诊疗与医保控费的政策要求。</w:t>
      </w:r>
    </w:p>
    <w:p w14:paraId="7E3EF508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互联网医院：连接医患的诊疗服务入口</w:t>
      </w:r>
    </w:p>
    <w:p w14:paraId="504B31A3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互联网医院作为连接医生与患者的线上服务入口，实现了诊疗服务的线上化，同时支撑分级诊疗的上下联动，产生高价值的诊疗数据，核心功能模块包括：</w:t>
      </w:r>
    </w:p>
    <w:p w14:paraId="6FBC0C42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lastRenderedPageBreak/>
        <w:t>问诊管理：支持图文、语音、视频等多种问诊方式，实现医患的远程交互，支撑基层的远程会诊；</w:t>
      </w:r>
    </w:p>
    <w:p w14:paraId="1C2F3C36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处方管理：支持电子处方、电子签名，符合监管要求，支持线上医保支付；</w:t>
      </w:r>
    </w:p>
    <w:p w14:paraId="5B259D63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转诊管理：双向转诊绿色通道，上级医院为基层预留号源与床位，实现患者信息无缝流转；</w:t>
      </w:r>
    </w:p>
    <w:p w14:paraId="4D13BA87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慢病管理：家庭医生签约、慢病随访、健康档案管理，实现全周期健康服务；</w:t>
      </w:r>
    </w:p>
    <w:p w14:paraId="08E7A589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智能辅助：AI辅助诊断、DRG/DIP费用监控、智能医保审方，帮助医生合理控费。</w:t>
      </w:r>
    </w:p>
    <w:p w14:paraId="39C6401A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共享中药房：标准化的中药炮制中心</w:t>
      </w:r>
    </w:p>
    <w:p w14:paraId="0595FC4B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共享中药房采用“1个中心+N个基层节点”的部署模式，解决了基层中药炮制能力不足的问题，实现了中药炮制的标准化与工艺资产化，同时深度适配中医药的政策红利，核心功能模块包括：</w:t>
      </w:r>
    </w:p>
    <w:p w14:paraId="65FC6A5D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设备管理：MQTT物联网设备接入、设备状态实时监控、设备运维管理；</w:t>
      </w:r>
    </w:p>
    <w:p w14:paraId="1F895691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煎药管控：煎药工艺孪生、工艺参数控制、生产任务调度，实现炮制标准化；</w:t>
      </w:r>
    </w:p>
    <w:p w14:paraId="72CAB7EA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处方管理：处方流转、智能中药审方、中药炮制管理，保障用药安全；</w:t>
      </w:r>
    </w:p>
    <w:p w14:paraId="65FE7189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追溯管理：药品全链路追溯、患者扫码查询，实现中药来源可查；</w:t>
      </w:r>
    </w:p>
    <w:p w14:paraId="6D567367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政策适配：中医优势病种付费适配、基层中医药服务能力提升，满足中医药考核要求。</w:t>
      </w:r>
    </w:p>
    <w:p w14:paraId="28962012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中心药房：医共体的药品供应枢纽</w:t>
      </w:r>
    </w:p>
    <w:p w14:paraId="22590A83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中心药房作为医共体的药品供应枢纽，支撑医共体内的药品统一供应与流动，实现药品流动的价值最大化，同时为医保控费提供药品成本的管控能力，核心功能模块包括：</w:t>
      </w:r>
    </w:p>
    <w:p w14:paraId="4CF5115D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库存管理：多级进销存、多批次效期管理、库存实时可视化；</w:t>
      </w:r>
    </w:p>
    <w:p w14:paraId="70A80B74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调拨管理：自动调拨策略、跨机构调拨流转、调拨审批管理；</w:t>
      </w:r>
    </w:p>
    <w:p w14:paraId="79CC45D7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采购管理：统一集中采购、供应商管理、采购需求预测；</w:t>
      </w:r>
    </w:p>
    <w:p w14:paraId="2CA04E1B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lastRenderedPageBreak/>
        <w:t>成本管理：DRG/DIP药品成本核算、医保总额付费管控，实现精细化成本管理；</w:t>
      </w:r>
    </w:p>
    <w:p w14:paraId="1CE1252C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库存优化：需求预测、近效期预警、库存优化配置，减少浪费与积压。</w:t>
      </w:r>
    </w:p>
    <w:p w14:paraId="045BC7C7" w14:textId="77777777" w:rsidR="00100795" w:rsidRDefault="00000000">
      <w:pPr>
        <w:pStyle w:val="1"/>
        <w:rPr>
          <w:lang w:eastAsia="zh-CN"/>
        </w:rPr>
      </w:pPr>
      <w:r>
        <w:rPr>
          <w:lang w:eastAsia="zh-CN"/>
        </w:rPr>
        <w:t>七、数据价值闭环：二元性价值释放</w:t>
      </w:r>
    </w:p>
    <w:p w14:paraId="500BD903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系统通过标准化的数据治理与隐私保护技术，实现了数据的商业价值与社会科研价值的双重释放，同时为政策的优化提供数据支撑，真正做到了数据的“取之于民，用之于民”。</w:t>
      </w:r>
    </w:p>
    <w:p w14:paraId="71911902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商业价值：产业链的反哺与优化</w:t>
      </w:r>
    </w:p>
    <w:p w14:paraId="66796885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标准化的供应链与诊疗数据，可反向赋能整个医疗健康产业链，实现产业的优化升级，同时助力医保控费：</w:t>
      </w:r>
    </w:p>
    <w:p w14:paraId="5AABADD3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反哺药材种植：通过用药数据的分析，指导药材的种植规划，实现按需种植，减少供需错配，稳定药材价格；</w:t>
      </w:r>
    </w:p>
    <w:p w14:paraId="07386CFE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支撑新药研发：标准化的临床数据，为新药研发提供高质量的真实世界数据，加速研发进程；</w:t>
      </w:r>
    </w:p>
    <w:p w14:paraId="1ABA10FC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优化医疗保险：通过精准的诊疗与用药数据，为医保的支付方式改革、精准控费提供数据支撑，助力医保基金的精细化管理。</w:t>
      </w:r>
    </w:p>
    <w:p w14:paraId="6F2A5CAD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社会科研价值：隐私保护下的全局协作</w:t>
      </w:r>
    </w:p>
    <w:p w14:paraId="47323D7A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通过隐私保护技术，在保障数据主权与隐私的前提下，实现跨机构的科研协作，释放数据的社会价值，支撑老龄化社会的医疗服务优化：</w:t>
      </w:r>
    </w:p>
    <w:p w14:paraId="6D6D490F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联邦学习与隐私计算：采用联邦学习、差分隐私、同态加密等技术，实现数据“可用不可见”，各机构原始数据不出本地，仅共享加密的模型梯度，即可联合训练全局AI模型；</w:t>
      </w:r>
    </w:p>
    <w:p w14:paraId="1498B931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lastRenderedPageBreak/>
        <w:t>授权账本：基于区块链的授权账本，记录数据的使用与授权痕迹，实现数据的可追溯与可审计，保障患者的数据主权；</w:t>
      </w:r>
    </w:p>
    <w:p w14:paraId="42054047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名老中医传承：通过标准化的诊疗数据，沉淀名老中医的诊疗经验，实现经验的数字化传承，解决中医传承难的问题，符合中医药传承的政策要求；</w:t>
      </w:r>
    </w:p>
    <w:p w14:paraId="5E7FB577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老龄化精准医疗：基于全局的标准化数据，训练针对老龄化社会的精准医疗模型，为慢病管理、老年健康提供精准的解决方案。</w:t>
      </w:r>
    </w:p>
    <w:p w14:paraId="64616F9E" w14:textId="77777777" w:rsidR="00100795" w:rsidRDefault="00000000">
      <w:pPr>
        <w:pStyle w:val="1"/>
        <w:rPr>
          <w:lang w:eastAsia="zh-CN"/>
        </w:rPr>
      </w:pPr>
      <w:r>
        <w:rPr>
          <w:lang w:eastAsia="zh-CN"/>
        </w:rPr>
        <w:t>八、技术安全与合规保障</w:t>
      </w:r>
    </w:p>
    <w:p w14:paraId="0903F4FE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系统构建了完整的安全与合规体系，保障系统的稳定运行与数据安全，同时满足国家医疗、医保相关的监管要求：</w:t>
      </w:r>
    </w:p>
    <w:p w14:paraId="77DA59A9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零信任安全架构：构建符合医疗行业标准的零信任安全架构，实现身份的强认证与访问的最小权限控制；</w:t>
      </w:r>
    </w:p>
    <w:p w14:paraId="0EAE9ABD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数据分级保护：对数据进行分级分类管理，针对敏感数据采用加密存储与传输，保障数据安全；</w:t>
      </w:r>
    </w:p>
    <w:p w14:paraId="5B72FF54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合规性：符合国家卫健委《紧密型县域医共体信息化功能指引》、医保局DRG/DIP支付改革的数据规范等相关要求，满足医疗数据的监管要求；</w:t>
      </w:r>
    </w:p>
    <w:p w14:paraId="65BA1BF8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高可用架构：边缘节点的离线能力与云端的多活架构，保障系统7*24小时的高可用运行；</w:t>
      </w:r>
    </w:p>
    <w:p w14:paraId="2FCFECDC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医保监管适配：满足医保局的智能监管要求，支持医保数据的实时上报与稽核，保障医保基金的安全。</w:t>
      </w:r>
    </w:p>
    <w:p w14:paraId="56BE7FC0" w14:textId="77777777" w:rsidR="00100795" w:rsidRDefault="00000000">
      <w:pPr>
        <w:pStyle w:val="1"/>
        <w:rPr>
          <w:lang w:eastAsia="zh-CN"/>
        </w:rPr>
      </w:pPr>
      <w:r>
        <w:rPr>
          <w:lang w:eastAsia="zh-CN"/>
        </w:rPr>
        <w:t>九、政策适配与红利落地</w:t>
      </w:r>
    </w:p>
    <w:p w14:paraId="6537BBB2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系统全面适配国家最新的医疗改革政策，帮助医疗机构快速落地政策要求，同时充分享受政策带来的红利：</w:t>
      </w:r>
    </w:p>
    <w:p w14:paraId="2628786D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9.1 </w:t>
      </w:r>
      <w:r>
        <w:rPr>
          <w:lang w:eastAsia="zh-CN"/>
        </w:rPr>
        <w:t>分级诊疗落地支撑</w:t>
      </w:r>
    </w:p>
    <w:p w14:paraId="79A0C27D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系统为分级诊疗提供全流程的数字化支撑，助力医共体建立“基层首诊、双向转诊、急慢分治、上下联动”的分级诊疗格局：</w:t>
      </w:r>
    </w:p>
    <w:p w14:paraId="27522DE6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基层首诊赋能：通过AI辅助诊断、云端知识下沉，提升基层医生的服务能力，引导患者首选基层就诊，有效提升基层就诊率，满足政策考核要求；</w:t>
      </w:r>
    </w:p>
    <w:p w14:paraId="16B78708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双向转诊绿色通道：建立标准化的转诊流程，实现患者信息的无缝流转，上级医院为基层预留号源与床位，保障转诊的顺畅，实现急慢分治；</w:t>
      </w:r>
    </w:p>
    <w:p w14:paraId="19C3F368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检查结果互认：通过标准化的数据格式，实现医共体内检查检验结果的互认，减少重复检查，降低患者负担，同时提升诊疗效率；</w:t>
      </w:r>
    </w:p>
    <w:p w14:paraId="0D5DAAC9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家庭医生签约管理：支持家庭医生的签约、慢病管理、健康随访，实现全周期的健康管理，支撑分级诊疗的健康管理闭环。</w:t>
      </w:r>
    </w:p>
    <w:p w14:paraId="5D6D97DE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医保控费全流程管控</w:t>
      </w:r>
    </w:p>
    <w:p w14:paraId="5067F7FD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系统针对医保支付改革，构建了全流程的控费体系，帮助医共体实现精细化的费用管控，适配医保总额付费、DRG/DIP等改革要求：</w:t>
      </w:r>
    </w:p>
    <w:p w14:paraId="3FA184AB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DRG/DIP全流程适配：支持DRG/DIP的分组预测、实时费用监控、智能编码校验、成本核算，帮助医院适配医保支付改革，实现精细化运营；</w:t>
      </w:r>
    </w:p>
    <w:p w14:paraId="326B7335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智能医保稽核：内置30000+条医保审核规则，实现事前提醒、事中质控、事后审核，拦截不合理用药、过度医疗、医保欺诈等行为，从源头管控医保费用；</w:t>
      </w:r>
    </w:p>
    <w:p w14:paraId="5F2F7EFC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医保总额付费管控：针对紧密型医共体的医保总额付费政策，提供县域内医保基金的全局监控，实时跟踪基金使用情况，优化费用结构，助力医共体实现结余留用；</w:t>
      </w:r>
    </w:p>
    <w:p w14:paraId="3C27755F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药品成本管控：通过统一采购、多级库存优化，降低药品的采购与存储成本，同时通过智能审方减少不合理用药，降低药品费用占比。</w:t>
      </w:r>
    </w:p>
    <w:p w14:paraId="50CE7F99" w14:textId="77777777" w:rsidR="00100795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9.3 </w:t>
      </w:r>
      <w:r>
        <w:rPr>
          <w:lang w:eastAsia="zh-CN"/>
        </w:rPr>
        <w:t>政策红利的获取与落地</w:t>
      </w:r>
    </w:p>
    <w:p w14:paraId="1D01F25E" w14:textId="77777777" w:rsidR="00100795" w:rsidRDefault="00000000">
      <w:pPr>
        <w:rPr>
          <w:rFonts w:hint="eastAsia"/>
          <w:lang w:eastAsia="zh-CN"/>
        </w:rPr>
      </w:pPr>
      <w:r>
        <w:rPr>
          <w:lang w:eastAsia="zh-CN"/>
        </w:rPr>
        <w:t>系统帮助医疗机构满足各类政策的申报要求，助力机构获取专项补贴与试点资格：</w:t>
      </w:r>
    </w:p>
    <w:p w14:paraId="6EBBB532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县域医共体信息化补贴：系统满足国家紧密型县域医共体信息化的建设标准，帮助机构申请医共体信息化的专项财政补贴；</w:t>
      </w:r>
    </w:p>
    <w:p w14:paraId="32233015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中医药专项政策支持：系统符合中医药振兴发展重大工程的建设要求，支持中医优势病种付费、基层中医药服务能力提升，帮助机构申请中医药相关的专项补贴与试点资格；</w:t>
      </w:r>
    </w:p>
    <w:p w14:paraId="0AF86548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互联网+医疗健康政策支持：系统的互联网医院模块符合国家互联网+医疗健康的政策要求，支持线上医保支付，帮助机构享受互联网医疗的相关政策扶持；</w:t>
      </w:r>
    </w:p>
    <w:p w14:paraId="765231DA" w14:textId="77777777" w:rsidR="00100795" w:rsidRDefault="00000000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医保结余留用：通过控费与效率提升，帮助医共体满足医保考核指标，实现医保基金的结余，结余资金可作为医共体的业务收入，提升机构的运营活力。</w:t>
      </w:r>
    </w:p>
    <w:sectPr w:rsidR="001007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07590">
    <w:abstractNumId w:val="8"/>
  </w:num>
  <w:num w:numId="2" w16cid:durableId="1358045778">
    <w:abstractNumId w:val="6"/>
  </w:num>
  <w:num w:numId="3" w16cid:durableId="391661516">
    <w:abstractNumId w:val="5"/>
  </w:num>
  <w:num w:numId="4" w16cid:durableId="1653951001">
    <w:abstractNumId w:val="4"/>
  </w:num>
  <w:num w:numId="5" w16cid:durableId="2121676741">
    <w:abstractNumId w:val="7"/>
  </w:num>
  <w:num w:numId="6" w16cid:durableId="770323176">
    <w:abstractNumId w:val="3"/>
  </w:num>
  <w:num w:numId="7" w16cid:durableId="1990402106">
    <w:abstractNumId w:val="2"/>
  </w:num>
  <w:num w:numId="8" w16cid:durableId="880869381">
    <w:abstractNumId w:val="1"/>
  </w:num>
  <w:num w:numId="9" w16cid:durableId="50594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795"/>
    <w:rsid w:val="0015074B"/>
    <w:rsid w:val="0029639D"/>
    <w:rsid w:val="00326F90"/>
    <w:rsid w:val="009311FA"/>
    <w:rsid w:val="00AA1D8D"/>
    <w:rsid w:val="00B068F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5A63C"/>
  <w14:defaultImageDpi w14:val="300"/>
  <w15:docId w15:val="{094DE9F1-D9F8-4342-92E8-04B52D2CA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403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03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栋 Dr.</cp:lastModifiedBy>
  <cp:revision>2</cp:revision>
  <dcterms:created xsi:type="dcterms:W3CDTF">2013-12-23T23:15:00Z</dcterms:created>
  <dcterms:modified xsi:type="dcterms:W3CDTF">2026-04-28T09:07:00Z</dcterms:modified>
  <cp:category/>
</cp:coreProperties>
</file>