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Brief: Nancy Guthrie Kidnapping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Prepared by: Simon Tanenbaum</w:t>
      </w:r>
    </w:p>
    <w:p w:rsidR="00000000" w:rsidDel="00000000" w:rsidP="00000000" w:rsidRDefault="00000000" w:rsidRPr="00000000" w14:paraId="00000004">
      <w:pPr>
        <w:rPr/>
      </w:pPr>
      <w:r w:rsidDel="00000000" w:rsidR="00000000" w:rsidRPr="00000000">
        <w:rPr>
          <w:rtl w:val="0"/>
        </w:rPr>
        <w:t xml:space="preserve">Date: March 26,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Overview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recent kidnapping of Nancy Guthrie, a high-profile figure related to Savanna Guthrie, has drawn significant national and international attention. The case exhibits characteristics reminiscent of the historical Lindbergh baby kidnapping in the 1930s, in terms of public fascination, media saturation, and societal impact. This brief summarizes investigative observations and potential avenues for resolution.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Digital Forensics &amp; Technical Considerations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Camera Evidence: Despite possible Wi-Fi disruption, cameras often record locally. The critical question is what footage was captured when cameras reconnected to servers or cloud storage.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Server Backups &amp; Metadata: Recovery of video from server backlogs, with forensic timestamps and metadata, will be essential in reconstructing events.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Triangulation &amp; Surrounding Zones: Footage from neighboring cameras and associated metadata can be combined to establish suspect movements and corroborate key timelines.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Suspect Profiling &amp; Motive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Physical Features: Observed features (height, gait, tattoos, clothing) can assist profiling divisions in connecting a suspect across locations.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Behavioral Analysis: Early communication may indicate financial motive. Lack of recent communication could suggest escalation, possible harm to the victim, and an attempt to avoid murder charges.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High-Profile Considerations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Media &amp; Public Attention: The victim’s high-profile connections can accelerate tip generation and resource allocation.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Operational Risks: Media coverage may also create distractions or complicate investigative operations if not managed carefully.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