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c8ad06e13e50a7c7630c267934b46d9dd54155e"/>
    <w:p>
      <w:pPr>
        <w:pStyle w:val="Heading1"/>
      </w:pPr>
      <w:r>
        <w:t xml:space="preserve">ARISCAT Score for Postoperative Pulmonary Complications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Age, years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≤50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51-80 (3)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&gt;80 (16)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Preoperative SpO₂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≥96%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91-95% (8)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≤90% (24)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Respiratory infection in the last month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Either upper or lower (i.e., URI, bronchitis, pneumonia), with fever and antibiotic treatment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(17)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Preoperative anemia (Hgb ≤10 g/dL)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Surgical incision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Peripheral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Upper abdominal (15)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Intrathoracic (24)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Duration of surgery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&lt;2 hrs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2-3 hrs (16)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&gt;3 hrs (23)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Emergency procedure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Yes (8)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>
            <w:gridSpan w:val="2"/>
          </w:tcPr>
          <w:p>
            <w:pPr>
              <w:pStyle w:val="FirstParagraph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Age, years</w:t>
            </w:r>
          </w:p>
        </w:tc>
        <w:tc>
          <w:tcPr/>
          <w:p>
            <w:pPr>
              <w:pStyle w:val="BodyText"/>
            </w:pPr>
            <w:r>
              <w:t xml:space="preserve">≤50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51-80</w:t>
            </w:r>
          </w:p>
        </w:tc>
        <w:tc>
          <w:tcPr/>
          <w:p>
            <w:pPr>
              <w:pStyle w:val="BodyText"/>
            </w:pPr>
            <w:r>
              <w:t xml:space="preserve">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&gt;80</w:t>
            </w:r>
          </w:p>
        </w:tc>
        <w:tc>
          <w:tcPr/>
          <w:p>
            <w:pPr>
              <w:pStyle w:val="BodyText"/>
            </w:pPr>
            <w:r>
              <w:t xml:space="preserve">16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Preoperative SpO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BodyText"/>
            </w:pPr>
            <w:r>
              <w:t xml:space="preserve">≥96%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91-95%</w:t>
            </w:r>
          </w:p>
        </w:tc>
        <w:tc>
          <w:tcPr/>
          <w:p>
            <w:pPr>
              <w:pStyle w:val="BodyText"/>
            </w:pPr>
            <w:r>
              <w:t xml:space="preserve">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≤90%</w:t>
            </w:r>
          </w:p>
        </w:tc>
        <w:tc>
          <w:tcPr/>
          <w:p>
            <w:pPr>
              <w:pStyle w:val="BodyText"/>
            </w:pPr>
            <w:r>
              <w:t xml:space="preserve">24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Respiratory infection in the last month*</w:t>
            </w:r>
          </w:p>
        </w:tc>
        <w:tc>
          <w:tcPr/>
          <w:p>
            <w:pPr>
              <w:pStyle w:val="BodyText"/>
            </w:pPr>
            <w:r>
              <w:t xml:space="preserve">No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Yes</w:t>
            </w:r>
          </w:p>
        </w:tc>
        <w:tc>
          <w:tcPr/>
          <w:p>
            <w:pPr>
              <w:pStyle w:val="BodyText"/>
            </w:pPr>
            <w:r>
              <w:t xml:space="preserve">17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Preoperative anemia (Hgb ≤10 g/dL)</w:t>
            </w:r>
          </w:p>
        </w:tc>
        <w:tc>
          <w:tcPr/>
          <w:p>
            <w:pPr>
              <w:pStyle w:val="BodyText"/>
            </w:pPr>
            <w:r>
              <w:t xml:space="preserve">No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Yes</w:t>
            </w:r>
          </w:p>
        </w:tc>
        <w:tc>
          <w:tcPr/>
          <w:p>
            <w:pPr>
              <w:pStyle w:val="BodyText"/>
            </w:pPr>
            <w:r>
              <w:t xml:space="preserve">11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Surgical incision</w:t>
            </w:r>
          </w:p>
        </w:tc>
        <w:tc>
          <w:tcPr/>
          <w:p>
            <w:pPr>
              <w:pStyle w:val="BodyText"/>
            </w:pPr>
            <w:r>
              <w:t xml:space="preserve">Peripheral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Upper abdominal</w:t>
            </w:r>
          </w:p>
        </w:tc>
        <w:tc>
          <w:tcPr/>
          <w:p>
            <w:pPr>
              <w:pStyle w:val="BodyText"/>
            </w:pPr>
            <w:r>
              <w:t xml:space="preserve">15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Intrathoracic</w:t>
            </w:r>
          </w:p>
        </w:tc>
        <w:tc>
          <w:tcPr/>
          <w:p>
            <w:pPr>
              <w:pStyle w:val="BodyText"/>
            </w:pPr>
            <w:r>
              <w:t xml:space="preserve">24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Duration of surgery</w:t>
            </w:r>
          </w:p>
        </w:tc>
        <w:tc>
          <w:tcPr/>
          <w:p>
            <w:pPr>
              <w:pStyle w:val="BodyText"/>
            </w:pPr>
            <w:r>
              <w:t xml:space="preserve">&lt;2 hrs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2-3 hrs</w:t>
            </w:r>
          </w:p>
        </w:tc>
        <w:tc>
          <w:tcPr/>
          <w:p>
            <w:pPr>
              <w:pStyle w:val="BodyText"/>
            </w:pPr>
            <w:r>
              <w:t xml:space="preserve">16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&gt;3 hrs</w:t>
            </w:r>
          </w:p>
        </w:tc>
        <w:tc>
          <w:tcPr/>
          <w:p>
            <w:pPr>
              <w:pStyle w:val="BodyText"/>
            </w:pPr>
            <w:r>
              <w:t xml:space="preserve">23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Emergency procedure</w:t>
            </w:r>
          </w:p>
        </w:tc>
        <w:tc>
          <w:tcPr/>
          <w:p>
            <w:pPr>
              <w:pStyle w:val="BodyText"/>
            </w:pPr>
            <w:r>
              <w:t xml:space="preserve">No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Yes</w:t>
            </w:r>
          </w:p>
        </w:tc>
        <w:tc>
          <w:tcPr/>
          <w:p>
            <w:pPr>
              <w:pStyle w:val="BodyTex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*Either upper or lower (i.e., URI, bronchitis, pneumonia), with fever and antibiotic treatment</w:t>
      </w:r>
    </w:p>
    <w:bookmarkEnd w:id="21"/>
    <w:bookmarkStart w:id="23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ARISCAT Score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Risk group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Risk of in-hospital postoperative pulmonary complications*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&lt;26</w:t>
            </w:r>
          </w:p>
        </w:tc>
        <w:tc>
          <w:tcPr/>
          <w:p>
            <w:pPr>
              <w:pStyle w:val="BodyText"/>
            </w:pPr>
            <w:r>
              <w:t xml:space="preserve">Low</w:t>
            </w:r>
          </w:p>
        </w:tc>
        <w:tc>
          <w:tcPr/>
          <w:p>
            <w:pPr>
              <w:pStyle w:val="BodyText"/>
            </w:pPr>
            <w:r>
              <w:t xml:space="preserve">1.6%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26–44</w:t>
            </w:r>
          </w:p>
        </w:tc>
        <w:tc>
          <w:tcPr/>
          <w:p>
            <w:pPr>
              <w:pStyle w:val="BodyText"/>
            </w:pPr>
            <w:r>
              <w:t xml:space="preserve">Intermediate</w:t>
            </w:r>
          </w:p>
        </w:tc>
        <w:tc>
          <w:tcPr/>
          <w:p>
            <w:pPr>
              <w:pStyle w:val="BodyText"/>
            </w:pPr>
            <w:r>
              <w:t xml:space="preserve">13.3%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≥45</w:t>
            </w:r>
          </w:p>
        </w:tc>
        <w:tc>
          <w:tcPr/>
          <w:p>
            <w:pPr>
              <w:pStyle w:val="BodyText"/>
            </w:pPr>
            <w:r>
              <w:t xml:space="preserve">High</w:t>
            </w:r>
          </w:p>
        </w:tc>
        <w:tc>
          <w:tcPr/>
          <w:p>
            <w:pPr>
              <w:pStyle w:val="BodyText"/>
            </w:pPr>
            <w:r>
              <w:t xml:space="preserve">42.1%</w:t>
            </w:r>
          </w:p>
        </w:tc>
      </w:tr>
    </w:tbl>
    <w:p>
      <w:pPr>
        <w:pStyle w:val="BodyText"/>
      </w:pPr>
      <w:bookmarkStart w:id="22" w:name="Xe735db56c624e26fc7464df787172a80b87d300"/>
      <w:bookmarkEnd w:id="22"/>
    </w:p>
    <w:p>
      <w:pPr>
        <w:pStyle w:val="BodyText"/>
      </w:pPr>
      <w:r>
        <w:t xml:space="preserve">*Complications were defined as a composite including respiratory failure, respiratory infection, pleural effusion, atelectasis on chest x-ray, pneumothorax, bronchospasm treated with bronchodilators, and aspiration pneumonitis.</w:t>
      </w:r>
    </w:p>
    <w:bookmarkEnd w:id="23"/>
    <w:bookmarkStart w:id="24" w:name="evidence-appraisal"/>
    <w:p>
      <w:pPr>
        <w:pStyle w:val="Heading2"/>
      </w:pPr>
      <w:r>
        <w:t xml:space="preserve">EVIDENCE APPRAISAL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2024-07-22T20:04:03Z</dcterms:created>
  <dcterms:modified xsi:type="dcterms:W3CDTF">2024-07-22T20:04:03Z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