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d55ae1849db82e07a06a604ef162783b6dd6be2"/>
    <w:p>
      <w:pPr>
        <w:pStyle w:val="Heading1"/>
      </w:pPr>
      <w:r>
        <w:t xml:space="preserve">ASCVD (Atherosclerotic Cardiovascular Disease) 2013 Risk Calculator from AHA/ACC</w:t>
      </w:r>
    </w:p>
    <w:bookmarkStart w:id="20" w:name="inputs"/>
    <w:p>
      <w:pPr>
        <w:pStyle w:val="Heading2"/>
      </w:pPr>
      <w:r>
        <w:t xml:space="preserve">INPUTS</w:t>
      </w:r>
    </w:p>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Age</w:t>
            </w:r>
          </w:p>
          <w:p>
            <w:pPr>
              <w:pStyle w:val="BodyText"/>
            </w:pPr>
            <w:r>
              <w:rPr>
                <w:i/>
                <w:iCs/>
              </w:rPr>
              <w:t xml:space="preserve">This calculator only applies to individuals 40-75 years of age.</w:t>
            </w:r>
          </w:p>
        </w:tc>
        <w:tc>
          <w:tcPr/>
          <w:p>
            <w:pPr>
              <w:pStyle w:val="Compact"/>
            </w:pPr>
            <w:r>
              <w:rPr>
                <w:b/>
                <w:bCs/>
              </w:rPr>
              <w:t xml:space="preserve">Options:</w:t>
            </w:r>
          </w:p>
        </w:tc>
      </w:tr>
      <w:tr>
        <w:tc>
          <w:tcPr/>
          <w:p>
            <w:pPr>
              <w:pStyle w:val="FirstParagraph"/>
            </w:pPr>
            <w:r>
              <w:t xml:space="preserve">Diabetes</w:t>
            </w:r>
          </w:p>
          <w:p>
            <w:pPr>
              <w:pStyle w:val="BodyText"/>
            </w:pPr>
          </w:p>
        </w:tc>
        <w:tc>
          <w:tcPr/>
          <w:p>
            <w:pPr>
              <w:pStyle w:val="Compact"/>
            </w:pPr>
            <w:r>
              <w:rPr>
                <w:b/>
                <w:bCs/>
              </w:rPr>
              <w:t xml:space="preserve">Options:</w:t>
            </w:r>
          </w:p>
          <w:p>
            <w:pPr>
              <w:pStyle w:val="Compact"/>
              <w:numPr>
                <w:ilvl w:val="0"/>
                <w:numId w:val="1001"/>
              </w:numPr>
            </w:pPr>
            <w:r>
              <w:t xml:space="preserve">No</w:t>
            </w:r>
          </w:p>
          <w:p>
            <w:pPr>
              <w:pStyle w:val="Compact"/>
              <w:numPr>
                <w:ilvl w:val="0"/>
                <w:numId w:val="1001"/>
              </w:numPr>
            </w:pPr>
            <w:r>
              <w:t xml:space="preserve">Yes</w:t>
            </w:r>
          </w:p>
        </w:tc>
      </w:tr>
      <w:tr>
        <w:tc>
          <w:tcPr/>
          <w:p>
            <w:pPr>
              <w:pStyle w:val="FirstParagraph"/>
            </w:pPr>
            <w:r>
              <w:t xml:space="preserve">Sex</w:t>
            </w:r>
          </w:p>
          <w:p>
            <w:pPr>
              <w:pStyle w:val="BodyText"/>
            </w:pPr>
          </w:p>
        </w:tc>
        <w:tc>
          <w:tcPr/>
          <w:p>
            <w:pPr>
              <w:pStyle w:val="Compact"/>
            </w:pPr>
            <w:r>
              <w:rPr>
                <w:b/>
                <w:bCs/>
              </w:rPr>
              <w:t xml:space="preserve">Options:</w:t>
            </w:r>
          </w:p>
          <w:p>
            <w:pPr>
              <w:pStyle w:val="Compact"/>
              <w:numPr>
                <w:ilvl w:val="0"/>
                <w:numId w:val="1002"/>
              </w:numPr>
            </w:pPr>
            <w:r>
              <w:t xml:space="preserve">Female</w:t>
            </w:r>
          </w:p>
          <w:p>
            <w:pPr>
              <w:pStyle w:val="Compact"/>
              <w:numPr>
                <w:ilvl w:val="0"/>
                <w:numId w:val="1002"/>
              </w:numPr>
            </w:pPr>
            <w:r>
              <w:t xml:space="preserve">Male</w:t>
            </w:r>
          </w:p>
        </w:tc>
      </w:tr>
      <w:tr>
        <w:tc>
          <w:tcPr/>
          <w:p>
            <w:pPr>
              <w:pStyle w:val="FirstParagraph"/>
            </w:pPr>
            <w:r>
              <w:t xml:space="preserve">Smoker</w:t>
            </w:r>
          </w:p>
          <w:p>
            <w:pPr>
              <w:pStyle w:val="BodyText"/>
            </w:pPr>
          </w:p>
        </w:tc>
        <w:tc>
          <w:tcPr/>
          <w:p>
            <w:pPr>
              <w:pStyle w:val="Compact"/>
            </w:pPr>
            <w:r>
              <w:rPr>
                <w:b/>
                <w:bCs/>
              </w:rPr>
              <w:t xml:space="preserve">Options:</w:t>
            </w:r>
          </w:p>
          <w:p>
            <w:pPr>
              <w:pStyle w:val="Compact"/>
              <w:numPr>
                <w:ilvl w:val="0"/>
                <w:numId w:val="1003"/>
              </w:numPr>
            </w:pPr>
            <w:r>
              <w:t xml:space="preserve">No</w:t>
            </w:r>
          </w:p>
          <w:p>
            <w:pPr>
              <w:pStyle w:val="Compact"/>
              <w:numPr>
                <w:ilvl w:val="0"/>
                <w:numId w:val="1003"/>
              </w:numPr>
            </w:pPr>
            <w:r>
              <w:t xml:space="preserve">Yes</w:t>
            </w:r>
          </w:p>
        </w:tc>
      </w:tr>
      <w:tr>
        <w:tc>
          <w:tcPr/>
          <w:p>
            <w:pPr>
              <w:pStyle w:val="FirstParagraph"/>
            </w:pPr>
            <w:r>
              <w:t xml:space="preserve">Total cholesterol</w:t>
            </w:r>
          </w:p>
          <w:p>
            <w:pPr>
              <w:pStyle w:val="BodyText"/>
            </w:pPr>
          </w:p>
        </w:tc>
        <w:tc>
          <w:tcPr/>
          <w:p>
            <w:pPr>
              <w:pStyle w:val="Compact"/>
            </w:pPr>
            <w:r>
              <w:rPr>
                <w:b/>
                <w:bCs/>
              </w:rPr>
              <w:t xml:space="preserve">Options:</w:t>
            </w:r>
          </w:p>
        </w:tc>
      </w:tr>
      <w:tr>
        <w:tc>
          <w:tcPr/>
          <w:p>
            <w:pPr>
              <w:pStyle w:val="FirstParagraph"/>
            </w:pPr>
            <w:r>
              <w:t xml:space="preserve">HDL cholesterol</w:t>
            </w:r>
          </w:p>
          <w:p>
            <w:pPr>
              <w:pStyle w:val="BodyText"/>
            </w:pPr>
          </w:p>
        </w:tc>
        <w:tc>
          <w:tcPr/>
          <w:p>
            <w:pPr>
              <w:pStyle w:val="Compact"/>
            </w:pPr>
            <w:r>
              <w:rPr>
                <w:b/>
                <w:bCs/>
              </w:rPr>
              <w:t xml:space="preserve">Options:</w:t>
            </w:r>
          </w:p>
        </w:tc>
      </w:tr>
      <w:tr>
        <w:tc>
          <w:tcPr/>
          <w:p>
            <w:pPr>
              <w:pStyle w:val="FirstParagraph"/>
            </w:pPr>
            <w:r>
              <w:t xml:space="preserve">Systolic blood pressure</w:t>
            </w:r>
          </w:p>
          <w:p>
            <w:pPr>
              <w:pStyle w:val="BodyText"/>
            </w:pPr>
          </w:p>
        </w:tc>
        <w:tc>
          <w:tcPr/>
          <w:p>
            <w:pPr>
              <w:pStyle w:val="Compact"/>
            </w:pPr>
            <w:r>
              <w:rPr>
                <w:b/>
                <w:bCs/>
              </w:rPr>
              <w:t xml:space="preserve">Options:</w:t>
            </w:r>
          </w:p>
        </w:tc>
      </w:tr>
      <w:tr>
        <w:tc>
          <w:tcPr/>
          <w:p>
            <w:pPr>
              <w:pStyle w:val="FirstParagraph"/>
            </w:pPr>
            <w:r>
              <w:t xml:space="preserve">Treatment for hypertension</w:t>
            </w:r>
          </w:p>
          <w:p>
            <w:pPr>
              <w:pStyle w:val="BodyText"/>
            </w:pPr>
          </w:p>
        </w:tc>
        <w:tc>
          <w:tcPr/>
          <w:p>
            <w:pPr>
              <w:pStyle w:val="Compact"/>
            </w:pPr>
            <w:r>
              <w:rPr>
                <w:b/>
                <w:bCs/>
              </w:rPr>
              <w:t xml:space="preserve">Options:</w:t>
            </w:r>
          </w:p>
          <w:p>
            <w:pPr>
              <w:pStyle w:val="Compact"/>
              <w:numPr>
                <w:ilvl w:val="0"/>
                <w:numId w:val="1004"/>
              </w:numPr>
            </w:pPr>
            <w:r>
              <w:t xml:space="preserve">No</w:t>
            </w:r>
          </w:p>
          <w:p>
            <w:pPr>
              <w:pStyle w:val="Compact"/>
              <w:numPr>
                <w:ilvl w:val="0"/>
                <w:numId w:val="1004"/>
              </w:numPr>
            </w:pPr>
            <w:r>
              <w:t xml:space="preserve">Yes</w:t>
            </w:r>
          </w:p>
        </w:tc>
      </w:tr>
      <w:tr>
        <w:tc>
          <w:tcPr/>
          <w:p>
            <w:pPr>
              <w:pStyle w:val="FirstParagraph"/>
            </w:pPr>
            <w:r>
              <w:t xml:space="preserve">Race</w:t>
            </w:r>
          </w:p>
          <w:p>
            <w:pPr>
              <w:pStyle w:val="BodyText"/>
            </w:pPr>
            <w:r>
              <w:rPr>
                <w:i/>
                <w:iCs/>
              </w:rPr>
              <w:t xml:space="preserve">Race may/may not provide better estimates of CV risk; optional</w:t>
            </w:r>
          </w:p>
        </w:tc>
        <w:tc>
          <w:tcPr/>
          <w:p>
            <w:pPr>
              <w:pStyle w:val="Compact"/>
            </w:pPr>
            <w:r>
              <w:rPr>
                <w:b/>
                <w:bCs/>
              </w:rPr>
              <w:t xml:space="preserve">Options:</w:t>
            </w:r>
          </w:p>
          <w:p>
            <w:pPr>
              <w:pStyle w:val="Compact"/>
              <w:numPr>
                <w:ilvl w:val="0"/>
                <w:numId w:val="1005"/>
              </w:numPr>
            </w:pPr>
            <w:r>
              <w:t xml:space="preserve">White</w:t>
            </w:r>
          </w:p>
          <w:p>
            <w:pPr>
              <w:pStyle w:val="Compact"/>
              <w:numPr>
                <w:ilvl w:val="0"/>
                <w:numId w:val="1005"/>
              </w:numPr>
            </w:pPr>
            <w:r>
              <w:t xml:space="preserve">African American</w:t>
            </w:r>
          </w:p>
          <w:p>
            <w:pPr>
              <w:pStyle w:val="Compact"/>
              <w:numPr>
                <w:ilvl w:val="0"/>
                <w:numId w:val="1005"/>
              </w:numPr>
            </w:pPr>
            <w:r>
              <w:t xml:space="preserve">Other</w:t>
            </w:r>
          </w:p>
        </w:tc>
      </w:tr>
    </w:tbl>
    <w:bookmarkEnd w:id="20"/>
    <w:bookmarkStart w:id="22" w:name="formula"/>
    <w:p>
      <w:pPr>
        <w:pStyle w:val="Heading2"/>
      </w:pPr>
      <w:r>
        <w:t xml:space="preserve">FORMULA</w:t>
      </w:r>
    </w:p>
    <w:p>
      <w:pPr>
        <w:pStyle w:val="FirstParagraph"/>
      </w:pPr>
      <w:r>
        <w:t xml:space="preserve">Scoring information is available in</w:t>
      </w:r>
      <w:r>
        <w:t xml:space="preserve"> </w:t>
      </w:r>
      <w:hyperlink r:id="rId21">
        <w:r>
          <w:rPr>
            <w:rStyle w:val="Hyperlink"/>
          </w:rPr>
          <w:t xml:space="preserve">Appendix 7 in the Goff, et al. 2014 study</w:t>
        </w:r>
      </w:hyperlink>
      <w:r>
        <w:t xml:space="preserve">.</w:t>
      </w:r>
    </w:p>
    <w:bookmarkEnd w:id="22"/>
    <w:bookmarkStart w:id="25" w:name="facts-figures"/>
    <w:p>
      <w:pPr>
        <w:pStyle w:val="Heading2"/>
      </w:pPr>
      <w:r>
        <w:t xml:space="preserve">FACTS &amp; FIGURES</w:t>
      </w:r>
    </w:p>
    <w:p>
      <w:pPr>
        <w:pStyle w:val="Compact"/>
        <w:numPr>
          <w:ilvl w:val="0"/>
          <w:numId w:val="1006"/>
        </w:numPr>
      </w:pPr>
      <w:r>
        <w:t xml:space="preserve">These estimates may underestimate the 10-year risk for some race/ethnic groups, including American Indians, some Asian Americans (e.g., of south Asian ancestry), and some Hispanics (e.g., Puerto Ricans).</w:t>
      </w:r>
    </w:p>
    <w:p>
      <w:pPr>
        <w:pStyle w:val="Compact"/>
        <w:numPr>
          <w:ilvl w:val="0"/>
          <w:numId w:val="1006"/>
        </w:numPr>
      </w:pPr>
      <w:r>
        <w:t xml:space="preserve">It may overestimate the risk for some Asian Americans (e.g., of east Asian ancestry) and some Hispanics (e.g., Mexican Americans).</w:t>
      </w:r>
    </w:p>
    <w:p>
      <w:pPr>
        <w:pStyle w:val="Compact"/>
        <w:numPr>
          <w:ilvl w:val="0"/>
          <w:numId w:val="1006"/>
        </w:numPr>
      </w:pPr>
      <w:r>
        <w:t xml:space="preserve">Because the primary use of these risk estimates is to facilitate the very important discussion regarding risk reduction through lifestyle change, the imprecision introduced is small enough to justify proceeding with lifestyle change counseling informed by these results.</w:t>
      </w:r>
    </w:p>
    <w:p>
      <w:pPr>
        <w:pStyle w:val="FirstParagraph"/>
      </w:pPr>
      <w:r>
        <w:rPr>
          <w:b/>
          <w:bCs/>
        </w:rPr>
        <w:t xml:space="preserve">Optimal Risk Factors</w:t>
      </w:r>
    </w:p>
    <w:p>
      <w:pPr>
        <w:pStyle w:val="BodyText"/>
      </w:pPr>
      <w:r>
        <w:t xml:space="preserve">For the comparison of optimal risk factors, these were defined by the following specific risk factor numbers for an individual of the same age, sex and race:</w:t>
      </w:r>
    </w:p>
    <w:p>
      <w:pPr>
        <w:pStyle w:val="Compact"/>
        <w:numPr>
          <w:ilvl w:val="0"/>
          <w:numId w:val="1007"/>
        </w:numPr>
      </w:pPr>
      <w:r>
        <w:t xml:space="preserve">Total cholesterol of 170 mg/dL</w:t>
      </w:r>
    </w:p>
    <w:p>
      <w:pPr>
        <w:pStyle w:val="Compact"/>
        <w:numPr>
          <w:ilvl w:val="0"/>
          <w:numId w:val="1007"/>
        </w:numPr>
      </w:pPr>
      <w:r>
        <w:t xml:space="preserve">HDL-cholesterol of 50 mg/dL</w:t>
      </w:r>
    </w:p>
    <w:p>
      <w:pPr>
        <w:pStyle w:val="Compact"/>
        <w:numPr>
          <w:ilvl w:val="0"/>
          <w:numId w:val="1007"/>
        </w:numPr>
      </w:pPr>
      <w:r>
        <w:rPr>
          <w:i/>
          <w:iCs/>
        </w:rPr>
        <w:t xml:space="preserve">Untreated</w:t>
      </w:r>
      <w:r>
        <w:t xml:space="preserve"> </w:t>
      </w:r>
      <w:r>
        <w:t xml:space="preserve">systolic blood pressure of 110 mm Hg</w:t>
      </w:r>
    </w:p>
    <w:p>
      <w:pPr>
        <w:pStyle w:val="Compact"/>
        <w:numPr>
          <w:ilvl w:val="0"/>
          <w:numId w:val="1007"/>
        </w:numPr>
      </w:pPr>
      <w:r>
        <w:t xml:space="preserve">No diabetes history</w:t>
      </w:r>
    </w:p>
    <w:p>
      <w:pPr>
        <w:pStyle w:val="Compact"/>
        <w:numPr>
          <w:ilvl w:val="0"/>
          <w:numId w:val="1007"/>
        </w:numPr>
      </w:pPr>
      <w:r>
        <w:t xml:space="preserve">Not a current smoker</w:t>
      </w:r>
    </w:p>
    <w:p>
      <w:pPr>
        <w:pStyle w:val="FirstParagraph"/>
      </w:pPr>
      <w:r>
        <w:rPr>
          <w:b/>
          <w:bCs/>
        </w:rPr>
        <w:t xml:space="preserve">US Preventive Services Task Force (USPSTF) Guidelines</w:t>
      </w:r>
    </w:p>
    <w:p>
      <w:pPr>
        <w:pStyle w:val="BodyText"/>
      </w:pPr>
      <w:r>
        <w:t xml:space="preserve">In 2016, the US Preventive Services Task Force (USPSTF) made similar but slightly different</w:t>
      </w:r>
      <w:r>
        <w:t xml:space="preserve"> </w:t>
      </w:r>
      <w:hyperlink r:id="rId23">
        <w:r>
          <w:rPr>
            <w:rStyle w:val="Hyperlink"/>
          </w:rPr>
          <w:t xml:space="preserve">recommendations</w:t>
        </w:r>
      </w:hyperlink>
      <w:r>
        <w:t xml:space="preserve"> </w:t>
      </w:r>
      <w:r>
        <w:t xml:space="preserve">for adults without a history of cardiovascular disease (CVD) to use a low- to moderate-dose statin for the prevention of CVD events and mortality when all of the following criteria are met:</w:t>
      </w:r>
    </w:p>
    <w:p>
      <w:pPr>
        <w:pStyle w:val="Compact"/>
        <w:numPr>
          <w:ilvl w:val="0"/>
          <w:numId w:val="1008"/>
        </w:numPr>
      </w:pPr>
      <w:r>
        <w:t xml:space="preserve">Age 40 to 75 years</w:t>
      </w:r>
    </w:p>
    <w:p>
      <w:pPr>
        <w:pStyle w:val="Compact"/>
        <w:numPr>
          <w:ilvl w:val="0"/>
          <w:numId w:val="1008"/>
        </w:numPr>
      </w:pPr>
      <w:r>
        <w:t xml:space="preserve">1 or more CVD risk factors (ie, dyslipidemia, diabetes, hypertension, or smoking)</w:t>
      </w:r>
    </w:p>
    <w:p>
      <w:pPr>
        <w:pStyle w:val="Compact"/>
        <w:numPr>
          <w:ilvl w:val="0"/>
          <w:numId w:val="1008"/>
        </w:numPr>
      </w:pPr>
      <w:r>
        <w:t xml:space="preserve">Calculated 10-year risk of a cardiovascular event of 10% or greater (B recommendation)</w:t>
      </w:r>
    </w:p>
    <w:p>
      <w:pPr>
        <w:pStyle w:val="FirstParagraph"/>
      </w:pPr>
      <w:r>
        <w:t xml:space="preserve">The USPSTF gave a B recommendation—indicating high certainty that the benefit is moderate or moderate certainty that the benefit is moderate to substantial—for starting low- to moderate-dose statins in adults ages 40 to 75 years without a history of cardiovascular disease (CVD) who have one or more CVD risk factors and a 10-year CVD risk of 10% or greater.</w:t>
      </w:r>
    </w:p>
    <w:p>
      <w:pPr>
        <w:pStyle w:val="BodyText"/>
      </w:pPr>
      <w:r>
        <w:t xml:space="preserve">The USPSTF dropped its level of endorsement to C for adults with a lower 10-year risk (7.5%-10%) and made no recommendations for adults 76 years of age and older, explaining that there was insufficient evidence for this age group.</w:t>
      </w:r>
    </w:p>
    <w:p>
      <w:pPr>
        <w:pStyle w:val="BodyText"/>
      </w:pPr>
      <w:r>
        <w:rPr>
          <w:i/>
          <w:iCs/>
        </w:rPr>
        <w:t xml:space="preserve">*Thanks to Vijay Shetty, MBBS, for this summary of the 2016 USPSTF guidelines.</w:t>
      </w:r>
    </w:p>
    <w:p>
      <w:pPr>
        <w:pStyle w:val="BodyText"/>
      </w:pPr>
      <w:r>
        <w:rPr>
          <w:b/>
          <w:bCs/>
        </w:rPr>
        <w:t xml:space="preserve">Intensity of Statin Therapy</w:t>
      </w:r>
    </w:p>
    <w:bookmarkStart w:id="24" w:name="table_statins"/>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Type of Statin</w:t>
            </w:r>
          </w:p>
        </w:tc>
        <w:tc>
          <w:tcPr/>
          <w:p>
            <w:pPr>
              <w:pStyle w:val="Compact"/>
            </w:pPr>
            <w:r>
              <w:t xml:space="preserve">Taken Daily, Average LDL Lowering Effect</w:t>
            </w:r>
          </w:p>
        </w:tc>
        <w:tc>
          <w:tcPr/>
          <w:p>
            <w:pPr>
              <w:pStyle w:val="Compact"/>
            </w:pPr>
            <w:r>
              <w:t xml:space="preserve">Types of Medication</w:t>
            </w:r>
          </w:p>
        </w:tc>
      </w:tr>
      <w:tr>
        <w:tc>
          <w:tcPr>
            <w:vMerge w:val="restart"/>
          </w:tcPr>
          <w:p>
            <w:pPr>
              <w:pStyle w:val="Compact"/>
            </w:pPr>
            <w:r>
              <w:t xml:space="preserve">High-intensity statin therapy</w:t>
            </w:r>
          </w:p>
        </w:tc>
        <w:tc>
          <w:tcPr>
            <w:vMerge w:val="restart"/>
          </w:tcPr>
          <w:p>
            <w:pPr>
              <w:pStyle w:val="Compact"/>
            </w:pPr>
            <w:r>
              <w:t xml:space="preserve">Approximately ≥50%</w:t>
            </w:r>
          </w:p>
        </w:tc>
        <w:tc>
          <w:tcPr/>
          <w:p>
            <w:pPr>
              <w:pStyle w:val="Compact"/>
            </w:pPr>
            <w:r>
              <w:t xml:space="preserve">Atorvastatin 40–80 mg</w:t>
            </w:r>
          </w:p>
        </w:tc>
      </w:tr>
      <w:tr>
        <w:tc>
          <w:tcPr>
            <w:gridSpan w:val="1"/>
            <w:vMerge w:val="continue"/>
          </w:tcPr>
          <w:p>
            <w:pPr/>
          </w:p>
        </w:tc>
        <w:tc>
          <w:tcPr>
            <w:gridSpan w:val="1"/>
            <w:vMerge w:val="continue"/>
          </w:tcPr>
          <w:p>
            <w:pPr/>
          </w:p>
        </w:tc>
        <w:tc>
          <w:tcPr/>
          <w:p>
            <w:pPr>
              <w:pStyle w:val="Compact"/>
            </w:pPr>
            <w:r>
              <w:t xml:space="preserve">Rosuvastatin 20-40 mg</w:t>
            </w:r>
          </w:p>
        </w:tc>
      </w:tr>
      <w:tr>
        <w:tc>
          <w:tcPr>
            <w:vMerge w:val="restart"/>
          </w:tcPr>
          <w:p>
            <w:pPr>
              <w:pStyle w:val="Compact"/>
            </w:pPr>
            <w:r>
              <w:t xml:space="preserve">Moderate-intensity statin therapy</w:t>
            </w:r>
          </w:p>
        </w:tc>
        <w:tc>
          <w:tcPr>
            <w:vMerge w:val="restart"/>
          </w:tcPr>
          <w:p>
            <w:pPr>
              <w:pStyle w:val="Compact"/>
            </w:pPr>
            <w:r>
              <w:t xml:space="preserve">Approximately 30% to &lt;50%</w:t>
            </w:r>
          </w:p>
        </w:tc>
        <w:tc>
          <w:tcPr/>
          <w:p>
            <w:pPr>
              <w:pStyle w:val="Compact"/>
            </w:pPr>
            <w:r>
              <w:t xml:space="preserve">Atorvastatin 10-20 mg</w:t>
            </w:r>
          </w:p>
        </w:tc>
      </w:tr>
      <w:tr>
        <w:tc>
          <w:tcPr>
            <w:gridSpan w:val="1"/>
            <w:vMerge w:val="continue"/>
          </w:tcPr>
          <w:p>
            <w:pPr/>
          </w:p>
        </w:tc>
        <w:tc>
          <w:tcPr>
            <w:gridSpan w:val="1"/>
            <w:vMerge w:val="continue"/>
          </w:tcPr>
          <w:p>
            <w:pPr/>
          </w:p>
        </w:tc>
        <w:tc>
          <w:tcPr/>
          <w:p>
            <w:pPr>
              <w:pStyle w:val="Compact"/>
            </w:pPr>
            <w:r>
              <w:t xml:space="preserve">Rosuvastatin 5-10 mg</w:t>
            </w:r>
          </w:p>
        </w:tc>
      </w:tr>
      <w:tr>
        <w:tc>
          <w:tcPr>
            <w:gridSpan w:val="1"/>
            <w:vMerge w:val="continue"/>
          </w:tcPr>
          <w:p>
            <w:pPr/>
          </w:p>
        </w:tc>
        <w:tc>
          <w:tcPr>
            <w:gridSpan w:val="1"/>
            <w:vMerge w:val="continue"/>
          </w:tcPr>
          <w:p>
            <w:pPr/>
          </w:p>
        </w:tc>
        <w:tc>
          <w:tcPr/>
          <w:p>
            <w:pPr>
              <w:pStyle w:val="Compact"/>
            </w:pPr>
            <w:r>
              <w:t xml:space="preserve">Simvastatin 20–40 mg</w:t>
            </w:r>
          </w:p>
        </w:tc>
      </w:tr>
      <w:tr>
        <w:tc>
          <w:tcPr>
            <w:gridSpan w:val="1"/>
            <w:vMerge w:val="continue"/>
          </w:tcPr>
          <w:p>
            <w:pPr/>
          </w:p>
        </w:tc>
        <w:tc>
          <w:tcPr>
            <w:gridSpan w:val="1"/>
            <w:vMerge w:val="continue"/>
          </w:tcPr>
          <w:p>
            <w:pPr/>
          </w:p>
        </w:tc>
        <w:tc>
          <w:tcPr/>
          <w:p>
            <w:pPr>
              <w:pStyle w:val="Compact"/>
            </w:pPr>
            <w:r>
              <w:t xml:space="preserve">Pravastatin 40-80 mg</w:t>
            </w:r>
          </w:p>
        </w:tc>
      </w:tr>
      <w:tr>
        <w:tc>
          <w:tcPr>
            <w:gridSpan w:val="1"/>
            <w:vMerge w:val="continue"/>
          </w:tcPr>
          <w:p>
            <w:pPr/>
          </w:p>
        </w:tc>
        <w:tc>
          <w:tcPr>
            <w:gridSpan w:val="1"/>
            <w:vMerge w:val="continue"/>
          </w:tcPr>
          <w:p>
            <w:pPr/>
          </w:p>
        </w:tc>
        <w:tc>
          <w:tcPr/>
          <w:p>
            <w:pPr>
              <w:pStyle w:val="Compact"/>
            </w:pPr>
            <w:r>
              <w:t xml:space="preserve">Lovastatin 40 mg</w:t>
            </w:r>
          </w:p>
        </w:tc>
      </w:tr>
      <w:tr>
        <w:tc>
          <w:tcPr>
            <w:gridSpan w:val="1"/>
            <w:vMerge w:val="continue"/>
          </w:tcPr>
          <w:p>
            <w:pPr/>
          </w:p>
        </w:tc>
        <w:tc>
          <w:tcPr>
            <w:gridSpan w:val="1"/>
            <w:vMerge w:val="continue"/>
          </w:tcPr>
          <w:p>
            <w:pPr/>
          </w:p>
        </w:tc>
        <w:tc>
          <w:tcPr/>
          <w:p>
            <w:pPr>
              <w:pStyle w:val="Compact"/>
            </w:pPr>
            <w:r>
              <w:t xml:space="preserve">Fluvastatin XL 80 mg</w:t>
            </w:r>
          </w:p>
        </w:tc>
      </w:tr>
      <w:tr>
        <w:tc>
          <w:tcPr>
            <w:gridSpan w:val="1"/>
            <w:vMerge w:val="continue"/>
          </w:tcPr>
          <w:p>
            <w:pPr/>
          </w:p>
        </w:tc>
        <w:tc>
          <w:tcPr>
            <w:gridSpan w:val="1"/>
            <w:vMerge w:val="continue"/>
          </w:tcPr>
          <w:p>
            <w:pPr/>
          </w:p>
        </w:tc>
        <w:tc>
          <w:tcPr/>
          <w:p>
            <w:pPr>
              <w:pStyle w:val="Compact"/>
            </w:pPr>
            <w:r>
              <w:t xml:space="preserve">Fluvastatin 40 mg</w:t>
            </w:r>
          </w:p>
        </w:tc>
      </w:tr>
      <w:tr>
        <w:tc>
          <w:tcPr>
            <w:gridSpan w:val="1"/>
            <w:vMerge w:val="continue"/>
          </w:tcPr>
          <w:p>
            <w:pPr/>
          </w:p>
        </w:tc>
        <w:tc>
          <w:tcPr>
            <w:gridSpan w:val="1"/>
            <w:vMerge w:val="continue"/>
          </w:tcPr>
          <w:p>
            <w:pPr/>
          </w:p>
        </w:tc>
        <w:tc>
          <w:tcPr/>
          <w:p>
            <w:pPr>
              <w:pStyle w:val="Compact"/>
            </w:pPr>
            <w:r>
              <w:t xml:space="preserve">BID Pitavastatin 2–4 mg</w:t>
            </w:r>
          </w:p>
        </w:tc>
      </w:tr>
      <w:tr>
        <w:tc>
          <w:tcPr>
            <w:vMerge w:val="restart"/>
          </w:tcPr>
          <w:p>
            <w:pPr>
              <w:pStyle w:val="Compact"/>
            </w:pPr>
            <w:r>
              <w:t xml:space="preserve">Low-intensity statin therapy</w:t>
            </w:r>
          </w:p>
        </w:tc>
        <w:tc>
          <w:tcPr>
            <w:vMerge w:val="restart"/>
          </w:tcPr>
          <w:p>
            <w:pPr>
              <w:pStyle w:val="Compact"/>
            </w:pPr>
            <w:r>
              <w:t xml:space="preserve">Approximately &lt;30%</w:t>
            </w:r>
          </w:p>
        </w:tc>
        <w:tc>
          <w:tcPr/>
          <w:p>
            <w:pPr>
              <w:pStyle w:val="Compact"/>
            </w:pPr>
            <w:r>
              <w:t xml:space="preserve">Simvastatin 10 mg</w:t>
            </w:r>
          </w:p>
        </w:tc>
      </w:tr>
      <w:tr>
        <w:tc>
          <w:tcPr>
            <w:gridSpan w:val="1"/>
            <w:vMerge w:val="continue"/>
          </w:tcPr>
          <w:p>
            <w:pPr/>
          </w:p>
        </w:tc>
        <w:tc>
          <w:tcPr>
            <w:gridSpan w:val="1"/>
            <w:vMerge w:val="continue"/>
          </w:tcPr>
          <w:p>
            <w:pPr/>
          </w:p>
        </w:tc>
        <w:tc>
          <w:tcPr/>
          <w:p>
            <w:pPr>
              <w:pStyle w:val="Compact"/>
            </w:pPr>
            <w:r>
              <w:t xml:space="preserve">Pravastatin 10–20 mg</w:t>
            </w:r>
          </w:p>
        </w:tc>
      </w:tr>
      <w:tr>
        <w:tc>
          <w:tcPr>
            <w:gridSpan w:val="1"/>
            <w:vMerge w:val="continue"/>
          </w:tcPr>
          <w:p>
            <w:pPr/>
          </w:p>
        </w:tc>
        <w:tc>
          <w:tcPr>
            <w:gridSpan w:val="1"/>
            <w:vMerge w:val="continue"/>
          </w:tcPr>
          <w:p>
            <w:pPr/>
          </w:p>
        </w:tc>
        <w:tc>
          <w:tcPr/>
          <w:p>
            <w:pPr>
              <w:pStyle w:val="Compact"/>
            </w:pPr>
            <w:r>
              <w:t xml:space="preserve">Lovastatin 20 mg</w:t>
            </w:r>
          </w:p>
        </w:tc>
      </w:tr>
      <w:tr>
        <w:tc>
          <w:tcPr>
            <w:gridSpan w:val="1"/>
            <w:vMerge w:val="continue"/>
          </w:tcPr>
          <w:p>
            <w:pPr/>
          </w:p>
        </w:tc>
        <w:tc>
          <w:tcPr>
            <w:gridSpan w:val="1"/>
            <w:vMerge w:val="continue"/>
          </w:tcPr>
          <w:p>
            <w:pPr/>
          </w:p>
        </w:tc>
        <w:tc>
          <w:tcPr/>
          <w:p>
            <w:pPr>
              <w:pStyle w:val="Compact"/>
            </w:pPr>
            <w:r>
              <w:t xml:space="preserve">Fluvastatin 20–40 mg</w:t>
            </w:r>
          </w:p>
        </w:tc>
      </w:tr>
      <w:tr>
        <w:tc>
          <w:tcPr>
            <w:gridSpan w:val="1"/>
            <w:vMerge w:val="continue"/>
          </w:tcPr>
          <w:p>
            <w:pPr/>
          </w:p>
        </w:tc>
        <w:tc>
          <w:tcPr>
            <w:gridSpan w:val="1"/>
            <w:vMerge w:val="continue"/>
          </w:tcPr>
          <w:p>
            <w:pPr/>
          </w:p>
        </w:tc>
        <w:tc>
          <w:tcPr/>
          <w:p>
            <w:pPr>
              <w:pStyle w:val="Compact"/>
            </w:pPr>
            <w:r>
              <w:t xml:space="preserve">Pitavastatin 1 mg</w:t>
            </w:r>
          </w:p>
        </w:tc>
      </w:tr>
    </w:tbl>
    <w:bookmarkEnd w:id="24"/>
    <w:bookmarkEnd w:id="25"/>
    <w:bookmarkStart w:id="26" w:name="evidence-appraisal"/>
    <w:p>
      <w:pPr>
        <w:pStyle w:val="Heading2"/>
      </w:pPr>
      <w:r>
        <w:t xml:space="preserve">EVIDENCE APPRAISAL</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irc.ahajournals.org/content/circulationaha/129/25_suppl_2/S49.full.pdf" TargetMode="External" /><Relationship Type="http://schemas.openxmlformats.org/officeDocument/2006/relationships/hyperlink" Id="rId23" Target="https://jamanetwork.com/journals/jama/fullarticle/2584058" TargetMode="External" /></Relationships>
</file>

<file path=word/_rels/footnotes.xml.rels><?xml version="1.0" encoding="UTF-8"?><Relationships xmlns="http://schemas.openxmlformats.org/package/2006/relationships"><Relationship Type="http://schemas.openxmlformats.org/officeDocument/2006/relationships/hyperlink" Id="rId21" Target="https://circ.ahajournals.org/content/circulationaha/129/25_suppl_2/S49.full.pdf" TargetMode="External" /><Relationship Type="http://schemas.openxmlformats.org/officeDocument/2006/relationships/hyperlink" Id="rId23" Target="https://jamanetwork.com/journals/jama/fullarticle/25840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2024-07-22T20:04:50Z</dcterms:created>
  <dcterms:modified xsi:type="dcterms:W3CDTF">2024-07-22T20:04:50Z</dcterms:modified>
</cp:coreProperties>
</file>

<file path=docProps/custom.xml><?xml version="1.0" encoding="utf-8"?>
<Properties xmlns="http://schemas.openxmlformats.org/officeDocument/2006/custom-properties" xmlns:vt="http://schemas.openxmlformats.org/officeDocument/2006/docPropsVTypes"/>
</file>