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X34dedb7685e3ce15a374c3053583ee42caf5718"/>
    <w:p>
      <w:pPr>
        <w:pStyle w:val="Heading1"/>
      </w:pPr>
      <w:r>
        <w:t xml:space="preserve">Caprini Score for Venous Thromboembolism (2005)</w:t>
      </w:r>
    </w:p>
    <w:bookmarkStart w:id="29"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Age</w:t>
            </w:r>
          </w:p>
          <w:p>
            <w:pPr>
              <w:pStyle w:val="BodyText"/>
            </w:pPr>
            <w:r>
              <w:rPr>
                <w:i/>
                <w:iCs/>
              </w:rPr>
              <w:t xml:space="preserve">Years</w:t>
            </w:r>
          </w:p>
        </w:tc>
        <w:tc>
          <w:tcPr/>
          <w:p>
            <w:pPr>
              <w:pStyle w:val="Compact"/>
            </w:pPr>
            <w:r>
              <w:rPr>
                <w:b/>
                <w:bCs/>
              </w:rPr>
              <w:t xml:space="preserve">Options:</w:t>
            </w:r>
          </w:p>
          <w:p>
            <w:pPr>
              <w:pStyle w:val="Compact"/>
              <w:numPr>
                <w:ilvl w:val="0"/>
                <w:numId w:val="1001"/>
              </w:numPr>
            </w:pPr>
            <w:r>
              <w:t xml:space="preserve">≤40 (0)</w:t>
            </w:r>
          </w:p>
          <w:p>
            <w:pPr>
              <w:pStyle w:val="Compact"/>
              <w:numPr>
                <w:ilvl w:val="0"/>
                <w:numId w:val="1001"/>
              </w:numPr>
            </w:pPr>
            <w:r>
              <w:t xml:space="preserve">41-60 (1)</w:t>
            </w:r>
          </w:p>
          <w:p>
            <w:pPr>
              <w:pStyle w:val="Compact"/>
              <w:numPr>
                <w:ilvl w:val="0"/>
                <w:numId w:val="1001"/>
              </w:numPr>
            </w:pPr>
            <w:r>
              <w:t xml:space="preserve">61-74 (2)</w:t>
            </w:r>
          </w:p>
          <w:p>
            <w:pPr>
              <w:pStyle w:val="Compact"/>
              <w:numPr>
                <w:ilvl w:val="0"/>
                <w:numId w:val="1001"/>
              </w:numPr>
            </w:pPr>
            <w:r>
              <w:t xml:space="preserve">≥75 (3)</w:t>
            </w:r>
          </w:p>
        </w:tc>
      </w:tr>
      <w:tr>
        <w:tc>
          <w:tcPr/>
          <w:p>
            <w:pPr>
              <w:pStyle w:val="FirstParagraph"/>
            </w:pPr>
            <w:r>
              <w:t xml:space="preserve">Sex</w:t>
            </w:r>
          </w:p>
          <w:p>
            <w:pPr>
              <w:pStyle w:val="BodyText"/>
            </w:pPr>
          </w:p>
        </w:tc>
        <w:tc>
          <w:tcPr/>
          <w:p>
            <w:pPr>
              <w:pStyle w:val="Compact"/>
            </w:pPr>
            <w:r>
              <w:rPr>
                <w:b/>
                <w:bCs/>
              </w:rPr>
              <w:t xml:space="preserve">Options:</w:t>
            </w:r>
          </w:p>
          <w:p>
            <w:pPr>
              <w:pStyle w:val="Compact"/>
              <w:numPr>
                <w:ilvl w:val="0"/>
                <w:numId w:val="1002"/>
              </w:numPr>
            </w:pPr>
            <w:r>
              <w:t xml:space="preserve">Male</w:t>
            </w:r>
          </w:p>
          <w:p>
            <w:pPr>
              <w:pStyle w:val="Compact"/>
              <w:numPr>
                <w:ilvl w:val="0"/>
                <w:numId w:val="1002"/>
              </w:numPr>
            </w:pPr>
            <w:r>
              <w:t xml:space="preserve">Female</w:t>
            </w:r>
          </w:p>
        </w:tc>
      </w:tr>
      <w:tr>
        <w:tc>
          <w:tcPr/>
          <w:p>
            <w:pPr>
              <w:pStyle w:val="FirstParagraph"/>
            </w:pPr>
            <w:r>
              <w:t xml:space="preserve">Type of surgery</w:t>
            </w:r>
          </w:p>
          <w:p>
            <w:pPr>
              <w:pStyle w:val="BodyText"/>
            </w:pPr>
            <w:r>
              <w:rPr>
                <w:i/>
                <w:iCs/>
              </w:rPr>
              <w:t xml:space="preserve">Minor surgery does not refer to</w:t>
            </w:r>
            <w:r>
              <w:rPr>
                <w:i/>
                <w:iCs/>
              </w:rPr>
              <w:t xml:space="preserve"> </w:t>
            </w:r>
            <w:hyperlink r:id="rId20">
              <w:r>
                <w:rPr>
                  <w:rStyle w:val="Hyperlink"/>
                  <w:i/>
                  <w:iCs/>
                </w:rPr>
                <w:t xml:space="preserve">type of surgery</w:t>
              </w:r>
            </w:hyperlink>
            <w:r>
              <w:rPr>
                <w:i/>
                <w:iCs/>
              </w:rPr>
              <w:t xml:space="preserve"> </w:t>
            </w:r>
            <w:r>
              <w:rPr>
                <w:i/>
                <w:iCs/>
              </w:rPr>
              <w:t xml:space="preserve">but rather length of anesthesia &lt;45 minutes.</w:t>
            </w:r>
            <w:r>
              <w:br/>
            </w:r>
            <w:r>
              <w:br/>
            </w:r>
            <w:r>
              <w:rPr>
                <w:i/>
                <w:iCs/>
              </w:rPr>
              <w:t xml:space="preserve">Major surgery refers to procedures with</w:t>
            </w:r>
            <w:r>
              <w:rPr>
                <w:i/>
                <w:iCs/>
              </w:rPr>
              <w:t xml:space="preserve"> </w:t>
            </w:r>
            <w:hyperlink r:id="rId21">
              <w:r>
                <w:rPr>
                  <w:rStyle w:val="Hyperlink"/>
                  <w:i/>
                  <w:iCs/>
                </w:rPr>
                <w:t xml:space="preserve">general</w:t>
              </w:r>
            </w:hyperlink>
            <w:r>
              <w:rPr>
                <w:i/>
                <w:iCs/>
              </w:rPr>
              <w:t xml:space="preserve"> </w:t>
            </w:r>
            <w:r>
              <w:rPr>
                <w:i/>
                <w:iCs/>
              </w:rPr>
              <w:t xml:space="preserve">or regional anesthesia time</w:t>
            </w:r>
            <w:r>
              <w:rPr>
                <w:i/>
                <w:iCs/>
              </w:rPr>
              <w:t xml:space="preserve"> </w:t>
            </w:r>
            <w:hyperlink r:id="rId20">
              <w:r>
                <w:rPr>
                  <w:rStyle w:val="Hyperlink"/>
                  <w:i/>
                  <w:iCs/>
                </w:rPr>
                <w:t xml:space="preserve">&gt;45 minutes</w:t>
              </w:r>
            </w:hyperlink>
            <w:r>
              <w:rPr>
                <w:i/>
                <w:iCs/>
              </w:rPr>
              <w:t xml:space="preserve"> </w:t>
            </w:r>
            <w:r>
              <w:rPr>
                <w:i/>
                <w:iCs/>
              </w:rPr>
              <w:t xml:space="preserve">are included. These include open, laparoscopic, or arthroscopic procedures.</w:t>
            </w:r>
            <w:r>
              <w:rPr>
                <w:i/>
                <w:iCs/>
              </w:rPr>
              <w:t xml:space="preserve"> </w:t>
            </w:r>
            <w:hyperlink r:id="rId22">
              <w:r>
                <w:rPr>
                  <w:rStyle w:val="Hyperlink"/>
                  <w:i/>
                  <w:iCs/>
                </w:rPr>
                <w:t xml:space="preserve">Re-operations</w:t>
              </w:r>
            </w:hyperlink>
            <w:r>
              <w:rPr>
                <w:i/>
                <w:iCs/>
              </w:rPr>
              <w:t xml:space="preserve"> </w:t>
            </w:r>
            <w:r>
              <w:rPr>
                <w:i/>
                <w:iCs/>
              </w:rPr>
              <w:t xml:space="preserve">during the same hospitalization count for 2 points each if the anesthesia time exceeds 45 minutes.</w:t>
            </w:r>
            <w:r>
              <w:br/>
            </w:r>
            <w:r>
              <w:br/>
            </w:r>
            <w:r>
              <w:rPr>
                <w:i/>
                <w:iCs/>
              </w:rPr>
              <w:t xml:space="preserve">Major lower extremity arthroplasties are high-risk procedures. However if additional risk factors are present that further increases the risk. It has been shown that in scores</w:t>
            </w:r>
            <w:r>
              <w:rPr>
                <w:i/>
                <w:iCs/>
              </w:rPr>
              <w:t xml:space="preserve"> </w:t>
            </w:r>
            <w:hyperlink r:id="rId23">
              <w:r>
                <w:rPr>
                  <w:rStyle w:val="Hyperlink"/>
                  <w:i/>
                  <w:iCs/>
                </w:rPr>
                <w:t xml:space="preserve">≥10</w:t>
              </w:r>
            </w:hyperlink>
            <w:r>
              <w:rPr>
                <w:i/>
                <w:iCs/>
              </w:rPr>
              <w:t xml:space="preserve"> </w:t>
            </w:r>
            <w:r>
              <w:rPr>
                <w:i/>
                <w:iCs/>
              </w:rPr>
              <w:t xml:space="preserve">the VTE risk is significantly</w:t>
            </w:r>
            <w:r>
              <w:rPr>
                <w:i/>
                <w:iCs/>
              </w:rPr>
              <w:t xml:space="preserve"> </w:t>
            </w:r>
            <w:hyperlink r:id="rId24">
              <w:r>
                <w:rPr>
                  <w:rStyle w:val="Hyperlink"/>
                  <w:i/>
                  <w:iCs/>
                </w:rPr>
                <w:t xml:space="preserve">greater</w:t>
              </w:r>
            </w:hyperlink>
            <w:r>
              <w:rPr>
                <w:i/>
                <w:iCs/>
              </w:rPr>
              <w:t xml:space="preserve">. If the procedure is being done as a result of a hip</w:t>
            </w:r>
            <w:r>
              <w:rPr>
                <w:i/>
                <w:iCs/>
              </w:rPr>
              <w:t xml:space="preserve"> </w:t>
            </w:r>
            <w:hyperlink r:id="rId25">
              <w:r>
                <w:rPr>
                  <w:rStyle w:val="Hyperlink"/>
                  <w:i/>
                  <w:iCs/>
                </w:rPr>
                <w:t xml:space="preserve">fracture</w:t>
              </w:r>
            </w:hyperlink>
            <w:r>
              <w:rPr>
                <w:i/>
                <w:iCs/>
              </w:rPr>
              <w:t xml:space="preserve">, preoperative screening may be beneficial.</w:t>
            </w:r>
          </w:p>
        </w:tc>
        <w:tc>
          <w:tcPr/>
          <w:p>
            <w:pPr>
              <w:pStyle w:val="Compact"/>
            </w:pPr>
            <w:r>
              <w:rPr>
                <w:b/>
                <w:bCs/>
              </w:rPr>
              <w:t xml:space="preserve">Options:</w:t>
            </w:r>
          </w:p>
          <w:p>
            <w:pPr>
              <w:pStyle w:val="Compact"/>
              <w:numPr>
                <w:ilvl w:val="0"/>
                <w:numId w:val="1003"/>
              </w:numPr>
            </w:pPr>
            <w:r>
              <w:t xml:space="preserve">None (0)</w:t>
            </w:r>
          </w:p>
          <w:p>
            <w:pPr>
              <w:pStyle w:val="Compact"/>
              <w:numPr>
                <w:ilvl w:val="0"/>
                <w:numId w:val="1003"/>
              </w:numPr>
            </w:pPr>
            <w:r>
              <w:t xml:space="preserve">Minor (1)</w:t>
            </w:r>
          </w:p>
          <w:p>
            <w:pPr>
              <w:pStyle w:val="Compact"/>
              <w:numPr>
                <w:ilvl w:val="0"/>
                <w:numId w:val="1003"/>
              </w:numPr>
            </w:pPr>
            <w:r>
              <w:t xml:space="preserve">Major &gt;45 min, laparoscopic &gt;45 min, or arthroscopic (2)</w:t>
            </w:r>
          </w:p>
          <w:p>
            <w:pPr>
              <w:pStyle w:val="Compact"/>
              <w:numPr>
                <w:ilvl w:val="0"/>
                <w:numId w:val="1003"/>
              </w:numPr>
            </w:pPr>
            <w:r>
              <w:t xml:space="preserve">Elective major lower extremity arthroplasty (5)</w:t>
            </w:r>
          </w:p>
        </w:tc>
      </w:tr>
      <w:tr>
        <w:tc>
          <w:tcPr/>
          <w:p>
            <w:pPr>
              <w:pStyle w:val="FirstParagraph"/>
            </w:pPr>
            <w:r>
              <w:t xml:space="preserve">Major surgery</w:t>
            </w:r>
          </w:p>
          <w:p>
            <w:pPr>
              <w:pStyle w:val="BodyText"/>
            </w:pPr>
          </w:p>
        </w:tc>
        <w:tc>
          <w:tcPr/>
          <w:p>
            <w:pPr>
              <w:pStyle w:val="Compact"/>
            </w:pPr>
            <w:r>
              <w:rPr>
                <w:b/>
                <w:bCs/>
              </w:rPr>
              <w:t xml:space="preserve">Options:</w:t>
            </w:r>
          </w:p>
          <w:p>
            <w:pPr>
              <w:pStyle w:val="Compact"/>
              <w:numPr>
                <w:ilvl w:val="0"/>
                <w:numId w:val="1004"/>
              </w:numPr>
            </w:pPr>
            <w:r>
              <w:t xml:space="preserve">No (0)</w:t>
            </w:r>
          </w:p>
          <w:p>
            <w:pPr>
              <w:pStyle w:val="Compact"/>
              <w:numPr>
                <w:ilvl w:val="0"/>
                <w:numId w:val="1004"/>
              </w:numPr>
            </w:pPr>
            <w:r>
              <w:t xml:space="preserve">Yes (1)</w:t>
            </w:r>
          </w:p>
        </w:tc>
      </w:tr>
      <w:tr>
        <w:tc>
          <w:tcPr/>
          <w:p>
            <w:pPr>
              <w:pStyle w:val="FirstParagraph"/>
            </w:pPr>
            <w:r>
              <w:t xml:space="preserve">CHF</w:t>
            </w:r>
          </w:p>
          <w:p>
            <w:pPr>
              <w:pStyle w:val="BodyText"/>
            </w:pPr>
          </w:p>
        </w:tc>
        <w:tc>
          <w:tcPr/>
          <w:p>
            <w:pPr>
              <w:pStyle w:val="Compact"/>
            </w:pPr>
            <w:r>
              <w:rPr>
                <w:b/>
                <w:bCs/>
              </w:rPr>
              <w:t xml:space="preserve">Options:</w:t>
            </w:r>
          </w:p>
          <w:p>
            <w:pPr>
              <w:pStyle w:val="Compact"/>
              <w:numPr>
                <w:ilvl w:val="0"/>
                <w:numId w:val="1005"/>
              </w:numPr>
            </w:pPr>
            <w:r>
              <w:t xml:space="preserve">No (0)</w:t>
            </w:r>
          </w:p>
          <w:p>
            <w:pPr>
              <w:pStyle w:val="Compact"/>
              <w:numPr>
                <w:ilvl w:val="0"/>
                <w:numId w:val="1005"/>
              </w:numPr>
            </w:pPr>
            <w:r>
              <w:t xml:space="preserve">Yes (1)</w:t>
            </w:r>
          </w:p>
        </w:tc>
      </w:tr>
      <w:tr>
        <w:tc>
          <w:tcPr/>
          <w:p>
            <w:pPr>
              <w:pStyle w:val="FirstParagraph"/>
            </w:pPr>
            <w:r>
              <w:t xml:space="preserve">Sepsis</w:t>
            </w:r>
          </w:p>
          <w:p>
            <w:pPr>
              <w:pStyle w:val="BodyText"/>
            </w:pPr>
          </w:p>
        </w:tc>
        <w:tc>
          <w:tcPr/>
          <w:p>
            <w:pPr>
              <w:pStyle w:val="Compact"/>
            </w:pPr>
            <w:r>
              <w:rPr>
                <w:b/>
                <w:bCs/>
              </w:rPr>
              <w:t xml:space="preserve">Options:</w:t>
            </w:r>
          </w:p>
          <w:p>
            <w:pPr>
              <w:pStyle w:val="Compact"/>
              <w:numPr>
                <w:ilvl w:val="0"/>
                <w:numId w:val="1006"/>
              </w:numPr>
            </w:pPr>
            <w:r>
              <w:t xml:space="preserve">No (0)</w:t>
            </w:r>
          </w:p>
          <w:p>
            <w:pPr>
              <w:pStyle w:val="Compact"/>
              <w:numPr>
                <w:ilvl w:val="0"/>
                <w:numId w:val="1006"/>
              </w:numPr>
            </w:pPr>
            <w:r>
              <w:t xml:space="preserve">Yes (1)</w:t>
            </w:r>
          </w:p>
        </w:tc>
      </w:tr>
      <w:tr>
        <w:tc>
          <w:tcPr/>
          <w:p>
            <w:pPr>
              <w:pStyle w:val="FirstParagraph"/>
            </w:pPr>
            <w:r>
              <w:t xml:space="preserve">Pneumonia</w:t>
            </w:r>
          </w:p>
          <w:p>
            <w:pPr>
              <w:pStyle w:val="BodyText"/>
            </w:pPr>
          </w:p>
        </w:tc>
        <w:tc>
          <w:tcPr/>
          <w:p>
            <w:pPr>
              <w:pStyle w:val="Compact"/>
            </w:pPr>
            <w:r>
              <w:rPr>
                <w:b/>
                <w:bCs/>
              </w:rPr>
              <w:t xml:space="preserve">Options:</w:t>
            </w:r>
          </w:p>
          <w:p>
            <w:pPr>
              <w:pStyle w:val="Compact"/>
              <w:numPr>
                <w:ilvl w:val="0"/>
                <w:numId w:val="1007"/>
              </w:numPr>
            </w:pPr>
            <w:r>
              <w:t xml:space="preserve">No (0)</w:t>
            </w:r>
          </w:p>
          <w:p>
            <w:pPr>
              <w:pStyle w:val="Compact"/>
              <w:numPr>
                <w:ilvl w:val="0"/>
                <w:numId w:val="1007"/>
              </w:numPr>
            </w:pPr>
            <w:r>
              <w:t xml:space="preserve">Yes (1)</w:t>
            </w:r>
          </w:p>
        </w:tc>
      </w:tr>
      <w:tr>
        <w:tc>
          <w:tcPr/>
          <w:p>
            <w:pPr>
              <w:pStyle w:val="FirstParagraph"/>
            </w:pPr>
            <w:r>
              <w:t xml:space="preserve">Pregnancy or postpartum</w:t>
            </w:r>
          </w:p>
          <w:p>
            <w:pPr>
              <w:pStyle w:val="BodyText"/>
            </w:pPr>
          </w:p>
        </w:tc>
        <w:tc>
          <w:tcPr/>
          <w:p>
            <w:pPr>
              <w:pStyle w:val="Compact"/>
            </w:pPr>
            <w:r>
              <w:rPr>
                <w:b/>
                <w:bCs/>
              </w:rPr>
              <w:t xml:space="preserve">Options:</w:t>
            </w:r>
          </w:p>
          <w:p>
            <w:pPr>
              <w:pStyle w:val="Compact"/>
              <w:numPr>
                <w:ilvl w:val="0"/>
                <w:numId w:val="1008"/>
              </w:numPr>
            </w:pPr>
            <w:r>
              <w:t xml:space="preserve">No (0)</w:t>
            </w:r>
          </w:p>
          <w:p>
            <w:pPr>
              <w:pStyle w:val="Compact"/>
              <w:numPr>
                <w:ilvl w:val="0"/>
                <w:numId w:val="1008"/>
              </w:numPr>
            </w:pPr>
            <w:r>
              <w:t xml:space="preserve">Yes (1)</w:t>
            </w:r>
          </w:p>
        </w:tc>
      </w:tr>
      <w:tr>
        <w:tc>
          <w:tcPr/>
          <w:p>
            <w:pPr>
              <w:pStyle w:val="FirstParagraph"/>
            </w:pPr>
            <w:r>
              <w:t xml:space="preserve">Immobilizing plaster cast</w:t>
            </w:r>
          </w:p>
          <w:p>
            <w:pPr>
              <w:pStyle w:val="BodyText"/>
            </w:pPr>
          </w:p>
        </w:tc>
        <w:tc>
          <w:tcPr/>
          <w:p>
            <w:pPr>
              <w:pStyle w:val="Compact"/>
            </w:pPr>
            <w:r>
              <w:rPr>
                <w:b/>
                <w:bCs/>
              </w:rPr>
              <w:t xml:space="preserve">Options:</w:t>
            </w:r>
          </w:p>
          <w:p>
            <w:pPr>
              <w:pStyle w:val="Compact"/>
              <w:numPr>
                <w:ilvl w:val="0"/>
                <w:numId w:val="1009"/>
              </w:numPr>
            </w:pPr>
            <w:r>
              <w:t xml:space="preserve">No (0)</w:t>
            </w:r>
          </w:p>
          <w:p>
            <w:pPr>
              <w:pStyle w:val="Compact"/>
              <w:numPr>
                <w:ilvl w:val="0"/>
                <w:numId w:val="1009"/>
              </w:numPr>
            </w:pPr>
            <w:r>
              <w:t xml:space="preserve">Yes (2)</w:t>
            </w:r>
          </w:p>
        </w:tc>
      </w:tr>
      <w:tr>
        <w:tc>
          <w:tcPr/>
          <w:p>
            <w:pPr>
              <w:pStyle w:val="FirstParagraph"/>
            </w:pPr>
            <w:r>
              <w:t xml:space="preserve">Hip, pelvis, or leg fracture</w:t>
            </w:r>
          </w:p>
          <w:p>
            <w:pPr>
              <w:pStyle w:val="BodyText"/>
            </w:pPr>
          </w:p>
        </w:tc>
        <w:tc>
          <w:tcPr/>
          <w:p>
            <w:pPr>
              <w:pStyle w:val="Compact"/>
            </w:pPr>
            <w:r>
              <w:rPr>
                <w:b/>
                <w:bCs/>
              </w:rPr>
              <w:t xml:space="preserve">Options:</w:t>
            </w:r>
          </w:p>
          <w:p>
            <w:pPr>
              <w:pStyle w:val="Compact"/>
              <w:numPr>
                <w:ilvl w:val="0"/>
                <w:numId w:val="1010"/>
              </w:numPr>
            </w:pPr>
            <w:r>
              <w:t xml:space="preserve">No (0)</w:t>
            </w:r>
          </w:p>
          <w:p>
            <w:pPr>
              <w:pStyle w:val="Compact"/>
              <w:numPr>
                <w:ilvl w:val="0"/>
                <w:numId w:val="1010"/>
              </w:numPr>
            </w:pPr>
            <w:r>
              <w:t xml:space="preserve">Yes (5)</w:t>
            </w:r>
          </w:p>
        </w:tc>
      </w:tr>
      <w:tr>
        <w:tc>
          <w:tcPr/>
          <w:p>
            <w:pPr>
              <w:pStyle w:val="FirstParagraph"/>
            </w:pPr>
            <w:r>
              <w:t xml:space="preserve">Stroke</w:t>
            </w:r>
          </w:p>
          <w:p>
            <w:pPr>
              <w:pStyle w:val="BodyText"/>
            </w:pPr>
          </w:p>
        </w:tc>
        <w:tc>
          <w:tcPr/>
          <w:p>
            <w:pPr>
              <w:pStyle w:val="Compact"/>
            </w:pPr>
            <w:r>
              <w:rPr>
                <w:b/>
                <w:bCs/>
              </w:rPr>
              <w:t xml:space="preserve">Options:</w:t>
            </w:r>
          </w:p>
          <w:p>
            <w:pPr>
              <w:pStyle w:val="Compact"/>
              <w:numPr>
                <w:ilvl w:val="0"/>
                <w:numId w:val="1011"/>
              </w:numPr>
            </w:pPr>
            <w:r>
              <w:t xml:space="preserve">No (0)</w:t>
            </w:r>
          </w:p>
          <w:p>
            <w:pPr>
              <w:pStyle w:val="Compact"/>
              <w:numPr>
                <w:ilvl w:val="0"/>
                <w:numId w:val="1011"/>
              </w:numPr>
            </w:pPr>
            <w:r>
              <w:t xml:space="preserve">Yes (5)</w:t>
            </w:r>
          </w:p>
        </w:tc>
      </w:tr>
      <w:tr>
        <w:tc>
          <w:tcPr/>
          <w:p>
            <w:pPr>
              <w:pStyle w:val="FirstParagraph"/>
            </w:pPr>
            <w:r>
              <w:t xml:space="preserve">Multiple trauma</w:t>
            </w:r>
          </w:p>
          <w:p>
            <w:pPr>
              <w:pStyle w:val="BodyText"/>
            </w:pPr>
          </w:p>
        </w:tc>
        <w:tc>
          <w:tcPr/>
          <w:p>
            <w:pPr>
              <w:pStyle w:val="Compact"/>
            </w:pPr>
            <w:r>
              <w:rPr>
                <w:b/>
                <w:bCs/>
              </w:rPr>
              <w:t xml:space="preserve">Options:</w:t>
            </w:r>
          </w:p>
          <w:p>
            <w:pPr>
              <w:pStyle w:val="Compact"/>
              <w:numPr>
                <w:ilvl w:val="0"/>
                <w:numId w:val="1012"/>
              </w:numPr>
            </w:pPr>
            <w:r>
              <w:t xml:space="preserve">No (0)</w:t>
            </w:r>
          </w:p>
          <w:p>
            <w:pPr>
              <w:pStyle w:val="Compact"/>
              <w:numPr>
                <w:ilvl w:val="0"/>
                <w:numId w:val="1012"/>
              </w:numPr>
            </w:pPr>
            <w:r>
              <w:t xml:space="preserve">Yes (5)</w:t>
            </w:r>
          </w:p>
        </w:tc>
      </w:tr>
      <w:tr>
        <w:tc>
          <w:tcPr/>
          <w:p>
            <w:pPr>
              <w:pStyle w:val="FirstParagraph"/>
            </w:pPr>
            <w:r>
              <w:t xml:space="preserve">Acute spinal cord injury causing paralysis</w:t>
            </w:r>
          </w:p>
          <w:p>
            <w:pPr>
              <w:pStyle w:val="BodyText"/>
            </w:pPr>
          </w:p>
        </w:tc>
        <w:tc>
          <w:tcPr/>
          <w:p>
            <w:pPr>
              <w:pStyle w:val="Compact"/>
            </w:pPr>
            <w:r>
              <w:rPr>
                <w:b/>
                <w:bCs/>
              </w:rPr>
              <w:t xml:space="preserve">Options:</w:t>
            </w:r>
          </w:p>
          <w:p>
            <w:pPr>
              <w:pStyle w:val="Compact"/>
              <w:numPr>
                <w:ilvl w:val="0"/>
                <w:numId w:val="1013"/>
              </w:numPr>
            </w:pPr>
            <w:r>
              <w:t xml:space="preserve">No (0)</w:t>
            </w:r>
          </w:p>
          <w:p>
            <w:pPr>
              <w:pStyle w:val="Compact"/>
              <w:numPr>
                <w:ilvl w:val="0"/>
                <w:numId w:val="1013"/>
              </w:numPr>
            </w:pPr>
            <w:r>
              <w:t xml:space="preserve">Yes (5)</w:t>
            </w:r>
          </w:p>
        </w:tc>
      </w:tr>
      <w:tr>
        <w:tc>
          <w:tcPr/>
          <w:p>
            <w:pPr>
              <w:pStyle w:val="FirstParagraph"/>
            </w:pPr>
            <w:r>
              <w:t xml:space="preserve">Varicose veins</w:t>
            </w:r>
          </w:p>
          <w:p>
            <w:pPr>
              <w:pStyle w:val="BodyText"/>
            </w:pPr>
          </w:p>
        </w:tc>
        <w:tc>
          <w:tcPr/>
          <w:p>
            <w:pPr>
              <w:pStyle w:val="Compact"/>
            </w:pPr>
            <w:r>
              <w:rPr>
                <w:b/>
                <w:bCs/>
              </w:rPr>
              <w:t xml:space="preserve">Options:</w:t>
            </w:r>
          </w:p>
          <w:p>
            <w:pPr>
              <w:pStyle w:val="Compact"/>
              <w:numPr>
                <w:ilvl w:val="0"/>
                <w:numId w:val="1014"/>
              </w:numPr>
            </w:pPr>
            <w:r>
              <w:t xml:space="preserve">No (0)</w:t>
            </w:r>
          </w:p>
          <w:p>
            <w:pPr>
              <w:pStyle w:val="Compact"/>
              <w:numPr>
                <w:ilvl w:val="0"/>
                <w:numId w:val="1014"/>
              </w:numPr>
            </w:pPr>
            <w:r>
              <w:t xml:space="preserve">Yes (1)</w:t>
            </w:r>
          </w:p>
        </w:tc>
      </w:tr>
      <w:tr>
        <w:tc>
          <w:tcPr/>
          <w:p>
            <w:pPr>
              <w:pStyle w:val="FirstParagraph"/>
            </w:pPr>
            <w:r>
              <w:t xml:space="preserve">Current swollen legs</w:t>
            </w:r>
          </w:p>
          <w:p>
            <w:pPr>
              <w:pStyle w:val="BodyText"/>
            </w:pPr>
          </w:p>
        </w:tc>
        <w:tc>
          <w:tcPr/>
          <w:p>
            <w:pPr>
              <w:pStyle w:val="Compact"/>
            </w:pPr>
            <w:r>
              <w:rPr>
                <w:b/>
                <w:bCs/>
              </w:rPr>
              <w:t xml:space="preserve">Options:</w:t>
            </w:r>
          </w:p>
          <w:p>
            <w:pPr>
              <w:pStyle w:val="Compact"/>
              <w:numPr>
                <w:ilvl w:val="0"/>
                <w:numId w:val="1015"/>
              </w:numPr>
            </w:pPr>
            <w:r>
              <w:t xml:space="preserve">No (0)</w:t>
            </w:r>
          </w:p>
          <w:p>
            <w:pPr>
              <w:pStyle w:val="Compact"/>
              <w:numPr>
                <w:ilvl w:val="0"/>
                <w:numId w:val="1015"/>
              </w:numPr>
            </w:pPr>
            <w:r>
              <w:t xml:space="preserve">Yes (1)</w:t>
            </w:r>
          </w:p>
        </w:tc>
      </w:tr>
      <w:tr>
        <w:tc>
          <w:tcPr/>
          <w:p>
            <w:pPr>
              <w:pStyle w:val="FirstParagraph"/>
            </w:pPr>
            <w:r>
              <w:t xml:space="preserve">Current central venous access</w:t>
            </w:r>
          </w:p>
          <w:p>
            <w:pPr>
              <w:pStyle w:val="BodyText"/>
            </w:pPr>
          </w:p>
        </w:tc>
        <w:tc>
          <w:tcPr/>
          <w:p>
            <w:pPr>
              <w:pStyle w:val="Compact"/>
            </w:pPr>
            <w:r>
              <w:rPr>
                <w:b/>
                <w:bCs/>
              </w:rPr>
              <w:t xml:space="preserve">Options:</w:t>
            </w:r>
          </w:p>
          <w:p>
            <w:pPr>
              <w:pStyle w:val="Compact"/>
              <w:numPr>
                <w:ilvl w:val="0"/>
                <w:numId w:val="1016"/>
              </w:numPr>
            </w:pPr>
            <w:r>
              <w:t xml:space="preserve">No (0)</w:t>
            </w:r>
          </w:p>
          <w:p>
            <w:pPr>
              <w:pStyle w:val="Compact"/>
              <w:numPr>
                <w:ilvl w:val="0"/>
                <w:numId w:val="1016"/>
              </w:numPr>
            </w:pPr>
            <w:r>
              <w:t xml:space="preserve">Yes (2)</w:t>
            </w:r>
          </w:p>
        </w:tc>
      </w:tr>
      <w:tr>
        <w:tc>
          <w:tcPr/>
          <w:p>
            <w:pPr>
              <w:pStyle w:val="FirstParagraph"/>
            </w:pPr>
            <w:r>
              <w:t xml:space="preserve">History of DVT/PE</w:t>
            </w:r>
          </w:p>
          <w:p>
            <w:pPr>
              <w:pStyle w:val="BodyText"/>
            </w:pPr>
          </w:p>
        </w:tc>
        <w:tc>
          <w:tcPr/>
          <w:p>
            <w:pPr>
              <w:pStyle w:val="Compact"/>
            </w:pPr>
            <w:r>
              <w:rPr>
                <w:b/>
                <w:bCs/>
              </w:rPr>
              <w:t xml:space="preserve">Options:</w:t>
            </w:r>
          </w:p>
          <w:p>
            <w:pPr>
              <w:pStyle w:val="Compact"/>
              <w:numPr>
                <w:ilvl w:val="0"/>
                <w:numId w:val="1017"/>
              </w:numPr>
            </w:pPr>
            <w:r>
              <w:t xml:space="preserve">No (0)</w:t>
            </w:r>
          </w:p>
          <w:p>
            <w:pPr>
              <w:pStyle w:val="Compact"/>
              <w:numPr>
                <w:ilvl w:val="0"/>
                <w:numId w:val="1017"/>
              </w:numPr>
            </w:pPr>
            <w:r>
              <w:t xml:space="preserve">Yes (3)</w:t>
            </w:r>
          </w:p>
        </w:tc>
      </w:tr>
      <w:tr>
        <w:tc>
          <w:tcPr/>
          <w:p>
            <w:pPr>
              <w:pStyle w:val="FirstParagraph"/>
            </w:pPr>
            <w:r>
              <w:t xml:space="preserve">Family history of thrombosis</w:t>
            </w:r>
          </w:p>
          <w:p>
            <w:pPr>
              <w:pStyle w:val="BodyText"/>
            </w:pPr>
          </w:p>
        </w:tc>
        <w:tc>
          <w:tcPr/>
          <w:p>
            <w:pPr>
              <w:pStyle w:val="Compact"/>
            </w:pPr>
            <w:r>
              <w:rPr>
                <w:b/>
                <w:bCs/>
              </w:rPr>
              <w:t xml:space="preserve">Options:</w:t>
            </w:r>
          </w:p>
          <w:p>
            <w:pPr>
              <w:pStyle w:val="Compact"/>
              <w:numPr>
                <w:ilvl w:val="0"/>
                <w:numId w:val="1018"/>
              </w:numPr>
            </w:pPr>
            <w:r>
              <w:t xml:space="preserve">No (0)</w:t>
            </w:r>
          </w:p>
          <w:p>
            <w:pPr>
              <w:pStyle w:val="Compact"/>
              <w:numPr>
                <w:ilvl w:val="0"/>
                <w:numId w:val="1018"/>
              </w:numPr>
            </w:pPr>
            <w:r>
              <w:t xml:space="preserve">Yes (3)</w:t>
            </w:r>
          </w:p>
        </w:tc>
      </w:tr>
      <w:tr>
        <w:tc>
          <w:tcPr/>
          <w:p>
            <w:pPr>
              <w:pStyle w:val="FirstParagraph"/>
            </w:pPr>
            <w:r>
              <w:t xml:space="preserve">Positive Factor V Leiden</w:t>
            </w:r>
          </w:p>
          <w:p>
            <w:pPr>
              <w:pStyle w:val="BodyText"/>
            </w:pPr>
          </w:p>
        </w:tc>
        <w:tc>
          <w:tcPr/>
          <w:p>
            <w:pPr>
              <w:pStyle w:val="Compact"/>
            </w:pPr>
            <w:r>
              <w:rPr>
                <w:b/>
                <w:bCs/>
              </w:rPr>
              <w:t xml:space="preserve">Options:</w:t>
            </w:r>
          </w:p>
          <w:p>
            <w:pPr>
              <w:pStyle w:val="Compact"/>
              <w:numPr>
                <w:ilvl w:val="0"/>
                <w:numId w:val="1019"/>
              </w:numPr>
            </w:pPr>
            <w:r>
              <w:t xml:space="preserve">No (0)</w:t>
            </w:r>
          </w:p>
          <w:p>
            <w:pPr>
              <w:pStyle w:val="Compact"/>
              <w:numPr>
                <w:ilvl w:val="0"/>
                <w:numId w:val="1019"/>
              </w:numPr>
            </w:pPr>
            <w:r>
              <w:t xml:space="preserve">Yes (3)</w:t>
            </w:r>
          </w:p>
        </w:tc>
      </w:tr>
      <w:tr>
        <w:tc>
          <w:tcPr/>
          <w:p>
            <w:pPr>
              <w:pStyle w:val="FirstParagraph"/>
            </w:pPr>
            <w:r>
              <w:t xml:space="preserve">Positive prothrombin 20210A</w:t>
            </w:r>
          </w:p>
          <w:p>
            <w:pPr>
              <w:pStyle w:val="BodyText"/>
            </w:pPr>
          </w:p>
        </w:tc>
        <w:tc>
          <w:tcPr/>
          <w:p>
            <w:pPr>
              <w:pStyle w:val="Compact"/>
            </w:pPr>
            <w:r>
              <w:rPr>
                <w:b/>
                <w:bCs/>
              </w:rPr>
              <w:t xml:space="preserve">Options:</w:t>
            </w:r>
          </w:p>
          <w:p>
            <w:pPr>
              <w:pStyle w:val="Compact"/>
              <w:numPr>
                <w:ilvl w:val="0"/>
                <w:numId w:val="1020"/>
              </w:numPr>
            </w:pPr>
            <w:r>
              <w:t xml:space="preserve">No (0)</w:t>
            </w:r>
          </w:p>
          <w:p>
            <w:pPr>
              <w:pStyle w:val="Compact"/>
              <w:numPr>
                <w:ilvl w:val="0"/>
                <w:numId w:val="1020"/>
              </w:numPr>
            </w:pPr>
            <w:r>
              <w:t xml:space="preserve">Yes (3)</w:t>
            </w:r>
          </w:p>
        </w:tc>
      </w:tr>
      <w:tr>
        <w:tc>
          <w:tcPr/>
          <w:p>
            <w:pPr>
              <w:pStyle w:val="FirstParagraph"/>
            </w:pPr>
            <w:r>
              <w:t xml:space="preserve">Elevated serum homocysteine</w:t>
            </w:r>
          </w:p>
          <w:p>
            <w:pPr>
              <w:pStyle w:val="BodyText"/>
            </w:pPr>
          </w:p>
        </w:tc>
        <w:tc>
          <w:tcPr/>
          <w:p>
            <w:pPr>
              <w:pStyle w:val="Compact"/>
            </w:pPr>
            <w:r>
              <w:rPr>
                <w:b/>
                <w:bCs/>
              </w:rPr>
              <w:t xml:space="preserve">Options:</w:t>
            </w:r>
          </w:p>
          <w:p>
            <w:pPr>
              <w:pStyle w:val="Compact"/>
              <w:numPr>
                <w:ilvl w:val="0"/>
                <w:numId w:val="1021"/>
              </w:numPr>
            </w:pPr>
            <w:r>
              <w:t xml:space="preserve">No (0)</w:t>
            </w:r>
          </w:p>
          <w:p>
            <w:pPr>
              <w:pStyle w:val="Compact"/>
              <w:numPr>
                <w:ilvl w:val="0"/>
                <w:numId w:val="1021"/>
              </w:numPr>
            </w:pPr>
            <w:r>
              <w:t xml:space="preserve">Yes (3)</w:t>
            </w:r>
          </w:p>
        </w:tc>
      </w:tr>
      <w:tr>
        <w:tc>
          <w:tcPr/>
          <w:p>
            <w:pPr>
              <w:pStyle w:val="FirstParagraph"/>
            </w:pPr>
            <w:r>
              <w:t xml:space="preserve">Positive lupus anticoagulant</w:t>
            </w:r>
          </w:p>
          <w:p>
            <w:pPr>
              <w:pStyle w:val="BodyText"/>
            </w:pPr>
          </w:p>
        </w:tc>
        <w:tc>
          <w:tcPr/>
          <w:p>
            <w:pPr>
              <w:pStyle w:val="Compact"/>
            </w:pPr>
            <w:r>
              <w:rPr>
                <w:b/>
                <w:bCs/>
              </w:rPr>
              <w:t xml:space="preserve">Options:</w:t>
            </w:r>
          </w:p>
          <w:p>
            <w:pPr>
              <w:pStyle w:val="Compact"/>
              <w:numPr>
                <w:ilvl w:val="0"/>
                <w:numId w:val="1022"/>
              </w:numPr>
            </w:pPr>
            <w:r>
              <w:t xml:space="preserve">No (0)</w:t>
            </w:r>
          </w:p>
          <w:p>
            <w:pPr>
              <w:pStyle w:val="Compact"/>
              <w:numPr>
                <w:ilvl w:val="0"/>
                <w:numId w:val="1022"/>
              </w:numPr>
            </w:pPr>
            <w:r>
              <w:t xml:space="preserve">Yes (3)</w:t>
            </w:r>
          </w:p>
        </w:tc>
      </w:tr>
      <w:tr>
        <w:tc>
          <w:tcPr/>
          <w:p>
            <w:pPr>
              <w:pStyle w:val="FirstParagraph"/>
            </w:pPr>
            <w:r>
              <w:t xml:space="preserve">Elevated anticardiolipin antibody</w:t>
            </w:r>
          </w:p>
          <w:p>
            <w:pPr>
              <w:pStyle w:val="BodyText"/>
            </w:pPr>
          </w:p>
        </w:tc>
        <w:tc>
          <w:tcPr/>
          <w:p>
            <w:pPr>
              <w:pStyle w:val="Compact"/>
            </w:pPr>
            <w:r>
              <w:rPr>
                <w:b/>
                <w:bCs/>
              </w:rPr>
              <w:t xml:space="preserve">Options:</w:t>
            </w:r>
          </w:p>
          <w:p>
            <w:pPr>
              <w:pStyle w:val="Compact"/>
              <w:numPr>
                <w:ilvl w:val="0"/>
                <w:numId w:val="1023"/>
              </w:numPr>
            </w:pPr>
            <w:r>
              <w:t xml:space="preserve">No (0)</w:t>
            </w:r>
          </w:p>
          <w:p>
            <w:pPr>
              <w:pStyle w:val="Compact"/>
              <w:numPr>
                <w:ilvl w:val="0"/>
                <w:numId w:val="1023"/>
              </w:numPr>
            </w:pPr>
            <w:r>
              <w:t xml:space="preserve">Yes (3)</w:t>
            </w:r>
          </w:p>
        </w:tc>
      </w:tr>
      <w:tr>
        <w:tc>
          <w:tcPr/>
          <w:p>
            <w:pPr>
              <w:pStyle w:val="FirstParagraph"/>
            </w:pPr>
            <w:r>
              <w:t xml:space="preserve">Heparin-induced thrombocytopenia</w:t>
            </w:r>
          </w:p>
          <w:p>
            <w:pPr>
              <w:pStyle w:val="BodyText"/>
            </w:pPr>
          </w:p>
        </w:tc>
        <w:tc>
          <w:tcPr/>
          <w:p>
            <w:pPr>
              <w:pStyle w:val="Compact"/>
            </w:pPr>
            <w:r>
              <w:rPr>
                <w:b/>
                <w:bCs/>
              </w:rPr>
              <w:t xml:space="preserve">Options:</w:t>
            </w:r>
          </w:p>
          <w:p>
            <w:pPr>
              <w:pStyle w:val="Compact"/>
              <w:numPr>
                <w:ilvl w:val="0"/>
                <w:numId w:val="1024"/>
              </w:numPr>
            </w:pPr>
            <w:r>
              <w:t xml:space="preserve">No (0)</w:t>
            </w:r>
          </w:p>
          <w:p>
            <w:pPr>
              <w:pStyle w:val="Compact"/>
              <w:numPr>
                <w:ilvl w:val="0"/>
                <w:numId w:val="1024"/>
              </w:numPr>
            </w:pPr>
            <w:r>
              <w:t xml:space="preserve">Yes (3)</w:t>
            </w:r>
          </w:p>
        </w:tc>
      </w:tr>
      <w:tr>
        <w:tc>
          <w:tcPr/>
          <w:p>
            <w:pPr>
              <w:pStyle w:val="FirstParagraph"/>
            </w:pPr>
            <w:r>
              <w:t xml:space="preserve">Other congenital or acquired thrombophilia</w:t>
            </w:r>
          </w:p>
          <w:p>
            <w:pPr>
              <w:pStyle w:val="BodyText"/>
            </w:pPr>
          </w:p>
        </w:tc>
        <w:tc>
          <w:tcPr/>
          <w:p>
            <w:pPr>
              <w:pStyle w:val="Compact"/>
            </w:pPr>
            <w:r>
              <w:rPr>
                <w:b/>
                <w:bCs/>
              </w:rPr>
              <w:t xml:space="preserve">Options:</w:t>
            </w:r>
          </w:p>
          <w:p>
            <w:pPr>
              <w:pStyle w:val="Compact"/>
              <w:numPr>
                <w:ilvl w:val="0"/>
                <w:numId w:val="1025"/>
              </w:numPr>
            </w:pPr>
            <w:r>
              <w:t xml:space="preserve">No (0)</w:t>
            </w:r>
          </w:p>
          <w:p>
            <w:pPr>
              <w:pStyle w:val="Compact"/>
              <w:numPr>
                <w:ilvl w:val="0"/>
                <w:numId w:val="1025"/>
              </w:numPr>
            </w:pPr>
            <w:r>
              <w:t xml:space="preserve">Yes (3)</w:t>
            </w:r>
          </w:p>
        </w:tc>
      </w:tr>
      <w:tr>
        <w:tc>
          <w:tcPr/>
          <w:p>
            <w:pPr>
              <w:pStyle w:val="FirstParagraph"/>
            </w:pPr>
            <w:r>
              <w:t xml:space="preserve">Mobility</w:t>
            </w:r>
          </w:p>
          <w:p>
            <w:pPr>
              <w:pStyle w:val="BodyText"/>
            </w:pPr>
            <w:r>
              <w:rPr>
                <w:i/>
                <w:iCs/>
              </w:rPr>
              <w:t xml:space="preserve">Bed rest is defined as not being able to walk 30 feet (10 meters) at one time. Bathroom privileges or walking in the room are not considered ambulation. Walking this distance reduces the VTE risk by</w:t>
            </w:r>
            <w:r>
              <w:rPr>
                <w:i/>
                <w:iCs/>
              </w:rPr>
              <w:t xml:space="preserve"> </w:t>
            </w:r>
            <w:hyperlink r:id="rId26">
              <w:r>
                <w:rPr>
                  <w:rStyle w:val="Hyperlink"/>
                  <w:i/>
                  <w:iCs/>
                </w:rPr>
                <w:t xml:space="preserve">50%</w:t>
              </w:r>
            </w:hyperlink>
            <w:r>
              <w:rPr>
                <w:i/>
                <w:iCs/>
              </w:rPr>
              <w:t xml:space="preserve">. Click here for</w:t>
            </w:r>
            <w:r>
              <w:rPr>
                <w:i/>
                <w:iCs/>
              </w:rPr>
              <w:t xml:space="preserve"> </w:t>
            </w:r>
            <w:hyperlink r:id="rId27">
              <w:r>
                <w:rPr>
                  <w:rStyle w:val="Hyperlink"/>
                  <w:i/>
                  <w:iCs/>
                </w:rPr>
                <w:t xml:space="preserve">VIDEO</w:t>
              </w:r>
            </w:hyperlink>
            <w:r>
              <w:rPr>
                <w:i/>
                <w:iCs/>
              </w:rPr>
              <w:t xml:space="preserve">. PE mortality increased for those immobile for</w:t>
            </w:r>
            <w:r>
              <w:rPr>
                <w:i/>
                <w:iCs/>
              </w:rPr>
              <w:t xml:space="preserve"> </w:t>
            </w:r>
            <w:hyperlink r:id="rId28">
              <w:r>
                <w:rPr>
                  <w:rStyle w:val="Hyperlink"/>
                  <w:i/>
                  <w:iCs/>
                </w:rPr>
                <w:t xml:space="preserve">&gt;4 days</w:t>
              </w:r>
            </w:hyperlink>
            <w:r>
              <w:rPr>
                <w:i/>
                <w:iCs/>
              </w:rPr>
              <w:t xml:space="preserve">.</w:t>
            </w:r>
          </w:p>
        </w:tc>
        <w:tc>
          <w:tcPr/>
          <w:p>
            <w:pPr>
              <w:pStyle w:val="Compact"/>
            </w:pPr>
            <w:r>
              <w:rPr>
                <w:b/>
                <w:bCs/>
              </w:rPr>
              <w:t xml:space="preserve">Options:</w:t>
            </w:r>
          </w:p>
          <w:p>
            <w:pPr>
              <w:pStyle w:val="Compact"/>
              <w:numPr>
                <w:ilvl w:val="0"/>
                <w:numId w:val="1026"/>
              </w:numPr>
            </w:pPr>
            <w:r>
              <w:t xml:space="preserve">Normal, out of bed (0)</w:t>
            </w:r>
          </w:p>
          <w:p>
            <w:pPr>
              <w:pStyle w:val="Compact"/>
              <w:numPr>
                <w:ilvl w:val="0"/>
                <w:numId w:val="1026"/>
              </w:numPr>
            </w:pPr>
            <w:r>
              <w:t xml:space="preserve">Medical patient currently on bed rest (1)</w:t>
            </w:r>
          </w:p>
          <w:p>
            <w:pPr>
              <w:pStyle w:val="Compact"/>
              <w:numPr>
                <w:ilvl w:val="0"/>
                <w:numId w:val="1026"/>
              </w:numPr>
            </w:pPr>
            <w:r>
              <w:t xml:space="preserve">Patient confined to bed &gt;72 hours (2)</w:t>
            </w:r>
          </w:p>
        </w:tc>
      </w:tr>
      <w:tr>
        <w:tc>
          <w:tcPr/>
          <w:p>
            <w:pPr>
              <w:pStyle w:val="FirstParagraph"/>
            </w:pPr>
            <w:r>
              <w:t xml:space="preserve">History of inflammatory bowel disease</w:t>
            </w:r>
          </w:p>
          <w:p>
            <w:pPr>
              <w:pStyle w:val="BodyText"/>
            </w:pPr>
          </w:p>
        </w:tc>
        <w:tc>
          <w:tcPr/>
          <w:p>
            <w:pPr>
              <w:pStyle w:val="Compact"/>
            </w:pPr>
            <w:r>
              <w:rPr>
                <w:b/>
                <w:bCs/>
              </w:rPr>
              <w:t xml:space="preserve">Options:</w:t>
            </w:r>
          </w:p>
          <w:p>
            <w:pPr>
              <w:pStyle w:val="Compact"/>
              <w:numPr>
                <w:ilvl w:val="0"/>
                <w:numId w:val="1027"/>
              </w:numPr>
            </w:pPr>
            <w:r>
              <w:t xml:space="preserve">No (0)</w:t>
            </w:r>
          </w:p>
          <w:p>
            <w:pPr>
              <w:pStyle w:val="Compact"/>
              <w:numPr>
                <w:ilvl w:val="0"/>
                <w:numId w:val="1027"/>
              </w:numPr>
            </w:pPr>
            <w:r>
              <w:t xml:space="preserve">Yes (1)</w:t>
            </w:r>
          </w:p>
        </w:tc>
      </w:tr>
      <w:tr>
        <w:tc>
          <w:tcPr/>
          <w:p>
            <w:pPr>
              <w:pStyle w:val="FirstParagraph"/>
            </w:pPr>
            <w:r>
              <w:t xml:space="preserve">BMI &gt;25</w:t>
            </w:r>
          </w:p>
          <w:p>
            <w:pPr>
              <w:pStyle w:val="BodyText"/>
            </w:pPr>
          </w:p>
        </w:tc>
        <w:tc>
          <w:tcPr/>
          <w:p>
            <w:pPr>
              <w:pStyle w:val="Compact"/>
            </w:pPr>
            <w:r>
              <w:rPr>
                <w:b/>
                <w:bCs/>
              </w:rPr>
              <w:t xml:space="preserve">Options:</w:t>
            </w:r>
          </w:p>
          <w:p>
            <w:pPr>
              <w:pStyle w:val="Compact"/>
              <w:numPr>
                <w:ilvl w:val="0"/>
                <w:numId w:val="1028"/>
              </w:numPr>
            </w:pPr>
            <w:r>
              <w:t xml:space="preserve">No (0)</w:t>
            </w:r>
          </w:p>
          <w:p>
            <w:pPr>
              <w:pStyle w:val="Compact"/>
              <w:numPr>
                <w:ilvl w:val="0"/>
                <w:numId w:val="1028"/>
              </w:numPr>
            </w:pPr>
            <w:r>
              <w:t xml:space="preserve">Yes (1)</w:t>
            </w:r>
          </w:p>
        </w:tc>
      </w:tr>
      <w:tr>
        <w:tc>
          <w:tcPr/>
          <w:p>
            <w:pPr>
              <w:pStyle w:val="FirstParagraph"/>
            </w:pPr>
            <w:r>
              <w:t xml:space="preserve">Acute MI</w:t>
            </w:r>
          </w:p>
          <w:p>
            <w:pPr>
              <w:pStyle w:val="BodyText"/>
            </w:pPr>
          </w:p>
        </w:tc>
        <w:tc>
          <w:tcPr/>
          <w:p>
            <w:pPr>
              <w:pStyle w:val="Compact"/>
            </w:pPr>
            <w:r>
              <w:rPr>
                <w:b/>
                <w:bCs/>
              </w:rPr>
              <w:t xml:space="preserve">Options:</w:t>
            </w:r>
          </w:p>
          <w:p>
            <w:pPr>
              <w:pStyle w:val="Compact"/>
              <w:numPr>
                <w:ilvl w:val="0"/>
                <w:numId w:val="1029"/>
              </w:numPr>
            </w:pPr>
            <w:r>
              <w:t xml:space="preserve">No (0)</w:t>
            </w:r>
          </w:p>
          <w:p>
            <w:pPr>
              <w:pStyle w:val="Compact"/>
              <w:numPr>
                <w:ilvl w:val="0"/>
                <w:numId w:val="1029"/>
              </w:numPr>
            </w:pPr>
            <w:r>
              <w:t xml:space="preserve">Yes (1)</w:t>
            </w:r>
          </w:p>
        </w:tc>
      </w:tr>
      <w:tr>
        <w:tc>
          <w:tcPr/>
          <w:p>
            <w:pPr>
              <w:pStyle w:val="FirstParagraph"/>
            </w:pPr>
            <w:r>
              <w:t xml:space="preserve">COPD</w:t>
            </w:r>
          </w:p>
          <w:p>
            <w:pPr>
              <w:pStyle w:val="BodyText"/>
            </w:pPr>
          </w:p>
        </w:tc>
        <w:tc>
          <w:tcPr/>
          <w:p>
            <w:pPr>
              <w:pStyle w:val="Compact"/>
            </w:pPr>
            <w:r>
              <w:rPr>
                <w:b/>
                <w:bCs/>
              </w:rPr>
              <w:t xml:space="preserve">Options:</w:t>
            </w:r>
          </w:p>
          <w:p>
            <w:pPr>
              <w:pStyle w:val="Compact"/>
              <w:numPr>
                <w:ilvl w:val="0"/>
                <w:numId w:val="1030"/>
              </w:numPr>
            </w:pPr>
            <w:r>
              <w:t xml:space="preserve">No (0)</w:t>
            </w:r>
          </w:p>
          <w:p>
            <w:pPr>
              <w:pStyle w:val="Compact"/>
              <w:numPr>
                <w:ilvl w:val="0"/>
                <w:numId w:val="1030"/>
              </w:numPr>
            </w:pPr>
            <w:r>
              <w:t xml:space="preserve">Yes (1)</w:t>
            </w:r>
          </w:p>
        </w:tc>
      </w:tr>
      <w:tr>
        <w:tc>
          <w:tcPr/>
          <w:p>
            <w:pPr>
              <w:pStyle w:val="FirstParagraph"/>
            </w:pPr>
            <w:r>
              <w:t xml:space="preserve">Present or previous malignancy</w:t>
            </w:r>
          </w:p>
          <w:p>
            <w:pPr>
              <w:pStyle w:val="BodyText"/>
            </w:pPr>
          </w:p>
        </w:tc>
        <w:tc>
          <w:tcPr/>
          <w:p>
            <w:pPr>
              <w:pStyle w:val="Compact"/>
            </w:pPr>
            <w:r>
              <w:rPr>
                <w:b/>
                <w:bCs/>
              </w:rPr>
              <w:t xml:space="preserve">Options:</w:t>
            </w:r>
          </w:p>
          <w:p>
            <w:pPr>
              <w:pStyle w:val="Compact"/>
              <w:numPr>
                <w:ilvl w:val="0"/>
                <w:numId w:val="1031"/>
              </w:numPr>
            </w:pPr>
            <w:r>
              <w:t xml:space="preserve">No (0)</w:t>
            </w:r>
          </w:p>
          <w:p>
            <w:pPr>
              <w:pStyle w:val="Compact"/>
              <w:numPr>
                <w:ilvl w:val="0"/>
                <w:numId w:val="1031"/>
              </w:numPr>
            </w:pPr>
            <w:r>
              <w:t xml:space="preserve">Yes (2)</w:t>
            </w:r>
          </w:p>
        </w:tc>
      </w:tr>
      <w:tr>
        <w:tc>
          <w:tcPr/>
          <w:p>
            <w:pPr>
              <w:pStyle w:val="FirstParagraph"/>
            </w:pPr>
            <w:r>
              <w:t xml:space="preserve">Other risk factors</w:t>
            </w:r>
          </w:p>
          <w:p>
            <w:pPr>
              <w:pStyle w:val="BodyText"/>
            </w:pPr>
          </w:p>
        </w:tc>
        <w:tc>
          <w:tcPr/>
          <w:p>
            <w:pPr>
              <w:pStyle w:val="Compact"/>
            </w:pPr>
            <w:r>
              <w:rPr>
                <w:b/>
                <w:bCs/>
              </w:rPr>
              <w:t xml:space="preserve">Options:</w:t>
            </w:r>
          </w:p>
          <w:p>
            <w:pPr>
              <w:pStyle w:val="Compact"/>
              <w:numPr>
                <w:ilvl w:val="0"/>
                <w:numId w:val="1032"/>
              </w:numPr>
            </w:pPr>
            <w:r>
              <w:t xml:space="preserve">No (0)</w:t>
            </w:r>
          </w:p>
          <w:p>
            <w:pPr>
              <w:pStyle w:val="Compact"/>
              <w:numPr>
                <w:ilvl w:val="0"/>
                <w:numId w:val="1032"/>
              </w:numPr>
            </w:pPr>
            <w:r>
              <w:t xml:space="preserve">Yes (1)</w:t>
            </w:r>
          </w:p>
        </w:tc>
      </w:tr>
      <w:tr>
        <w:tc>
          <w:tcPr/>
          <w:p>
            <w:pPr>
              <w:pStyle w:val="FirstParagraph"/>
            </w:pPr>
            <w:r>
              <w:t xml:space="preserve">On oral contraceptives or hormone replacement</w:t>
            </w:r>
          </w:p>
          <w:p>
            <w:pPr>
              <w:pStyle w:val="BodyText"/>
            </w:pPr>
          </w:p>
        </w:tc>
        <w:tc>
          <w:tcPr/>
          <w:p>
            <w:pPr>
              <w:pStyle w:val="Compact"/>
            </w:pPr>
            <w:r>
              <w:rPr>
                <w:b/>
                <w:bCs/>
              </w:rPr>
              <w:t xml:space="preserve">Options:</w:t>
            </w:r>
          </w:p>
          <w:p>
            <w:pPr>
              <w:pStyle w:val="Compact"/>
              <w:numPr>
                <w:ilvl w:val="0"/>
                <w:numId w:val="1033"/>
              </w:numPr>
            </w:pPr>
            <w:r>
              <w:t xml:space="preserve">No (0)</w:t>
            </w:r>
          </w:p>
          <w:p>
            <w:pPr>
              <w:pStyle w:val="Compact"/>
              <w:numPr>
                <w:ilvl w:val="0"/>
                <w:numId w:val="1033"/>
              </w:numPr>
            </w:pPr>
            <w:r>
              <w:t xml:space="preserve">Yes (1)</w:t>
            </w:r>
          </w:p>
        </w:tc>
      </w:tr>
      <w:tr>
        <w:tc>
          <w:tcPr/>
          <w:p>
            <w:pPr>
              <w:pStyle w:val="FirstParagraph"/>
            </w:pPr>
            <w:r>
              <w:t xml:space="preserve">History of unexplained stillborn, ≥3 spontaneous abortions, or premature birth with toxemia or growth-restricted infant</w:t>
            </w:r>
          </w:p>
          <w:p>
            <w:pPr>
              <w:pStyle w:val="BodyText"/>
            </w:pPr>
          </w:p>
        </w:tc>
        <w:tc>
          <w:tcPr/>
          <w:p>
            <w:pPr>
              <w:pStyle w:val="Compact"/>
            </w:pPr>
            <w:r>
              <w:rPr>
                <w:b/>
                <w:bCs/>
              </w:rPr>
              <w:t xml:space="preserve">Options:</w:t>
            </w:r>
          </w:p>
          <w:p>
            <w:pPr>
              <w:pStyle w:val="Compact"/>
              <w:numPr>
                <w:ilvl w:val="0"/>
                <w:numId w:val="1034"/>
              </w:numPr>
            </w:pPr>
            <w:r>
              <w:t xml:space="preserve">No (0)</w:t>
            </w:r>
          </w:p>
          <w:p>
            <w:pPr>
              <w:pStyle w:val="Compact"/>
              <w:numPr>
                <w:ilvl w:val="0"/>
                <w:numId w:val="1034"/>
              </w:numPr>
            </w:pPr>
            <w:r>
              <w:t xml:space="preserve">Yes (1)</w:t>
            </w:r>
          </w:p>
        </w:tc>
      </w:tr>
    </w:tbl>
    <w:bookmarkEnd w:id="29"/>
    <w:bookmarkStart w:id="100" w:name="formula"/>
    <w:p>
      <w:pPr>
        <w:pStyle w:val="Heading2"/>
      </w:pPr>
      <w:r>
        <w:t xml:space="preserve">FORMULA</w:t>
      </w:r>
    </w:p>
    <w:p>
      <w:pPr>
        <w:pStyle w:val="FirstParagraph"/>
      </w:pPr>
      <w:r>
        <w:t xml:space="preserve">Addition of the selected points:</w:t>
      </w:r>
      <w:bookmarkStart w:id="30" w:name="X732227c260a9defc89b87c6cc5bbbea2cb7bef2"/>
      <w:r>
        <w:t xml:space="preserve"> </w:t>
      </w:r>
      <w:bookmarkEnd w:id="30"/>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pPr>
            <w:r>
              <w:t xml:space="preserve"> </w:t>
            </w:r>
          </w:p>
        </w:tc>
        <w:tc>
          <w:tcPr/>
          <w:p>
            <w:pPr>
              <w:pStyle w:val="BodyText"/>
            </w:pPr>
            <w:r>
              <w:t xml:space="preserve">0 points</w:t>
            </w:r>
          </w:p>
        </w:tc>
        <w:tc>
          <w:tcPr/>
          <w:p>
            <w:pPr>
              <w:pStyle w:val="BodyText"/>
            </w:pPr>
            <w:r>
              <w:t xml:space="preserve">1 point</w:t>
            </w:r>
          </w:p>
        </w:tc>
        <w:tc>
          <w:tcPr/>
          <w:p>
            <w:pPr>
              <w:pStyle w:val="BodyText"/>
            </w:pPr>
            <w:r>
              <w:t xml:space="preserve">2 points</w:t>
            </w:r>
          </w:p>
        </w:tc>
        <w:tc>
          <w:tcPr/>
          <w:p>
            <w:pPr>
              <w:pStyle w:val="BodyText"/>
            </w:pPr>
            <w:r>
              <w:t xml:space="preserve">3 points</w:t>
            </w:r>
          </w:p>
        </w:tc>
        <w:tc>
          <w:tcPr/>
          <w:p>
            <w:pPr>
              <w:pStyle w:val="BodyText"/>
            </w:pPr>
            <w:r>
              <w:t xml:space="preserve">5 points</w:t>
            </w:r>
          </w:p>
        </w:tc>
      </w:tr>
      <w:tr>
        <w:tc>
          <w:tcPr/>
          <w:p>
            <w:pPr>
              <w:pStyle w:val="BodyText"/>
            </w:pPr>
            <w:r>
              <w:t xml:space="preserve">Age (years)</w:t>
            </w:r>
          </w:p>
        </w:tc>
        <w:tc>
          <w:tcPr/>
          <w:p>
            <w:pPr>
              <w:pStyle w:val="BodyText"/>
            </w:pPr>
            <w:r>
              <w:t xml:space="preserve">≤40</w:t>
            </w:r>
          </w:p>
        </w:tc>
        <w:tc>
          <w:tcPr/>
          <w:p>
            <w:pPr>
              <w:pStyle w:val="BodyText"/>
            </w:pPr>
            <w:r>
              <w:t xml:space="preserve">41-60</w:t>
            </w:r>
          </w:p>
        </w:tc>
        <w:tc>
          <w:tcPr/>
          <w:p>
            <w:pPr>
              <w:pStyle w:val="BodyText"/>
            </w:pPr>
            <w:r>
              <w:t xml:space="preserve">61-74</w:t>
            </w:r>
          </w:p>
        </w:tc>
        <w:tc>
          <w:tcPr/>
          <w:p>
            <w:pPr>
              <w:pStyle w:val="BodyText"/>
            </w:pPr>
            <w:r>
              <w:t xml:space="preserve">≥75</w:t>
            </w:r>
          </w:p>
        </w:tc>
        <w:tc>
          <w:tcPr/>
          <w:p>
            <w:pPr>
              <w:pStyle w:val="BodyText"/>
            </w:pPr>
            <w:r>
              <w:t xml:space="preserve">--</w:t>
            </w:r>
          </w:p>
        </w:tc>
      </w:tr>
      <w:tr>
        <w:tc>
          <w:tcPr>
            <w:vMerge w:val="restart"/>
          </w:tcPr>
          <w:p>
            <w:pPr>
              <w:pStyle w:val="BodyText"/>
            </w:pPr>
            <w:r>
              <w:t xml:space="preserve">Type of surgery</w:t>
            </w:r>
          </w:p>
        </w:tc>
        <w:tc>
          <w:tcPr>
            <w:vMerge w:val="restart"/>
          </w:tcPr>
          <w:p>
            <w:pPr>
              <w:pStyle w:val="BodyText"/>
            </w:pPr>
            <w:r>
              <w:t xml:space="preserve">--</w:t>
            </w:r>
          </w:p>
        </w:tc>
        <w:tc>
          <w:tcPr>
            <w:vMerge w:val="restart"/>
          </w:tcPr>
          <w:p>
            <w:pPr>
              <w:pStyle w:val="BodyText"/>
            </w:pPr>
            <w:r>
              <w:t xml:space="preserve">Minor</w:t>
            </w:r>
          </w:p>
        </w:tc>
        <w:tc>
          <w:tcPr>
            <w:vMerge w:val="restart"/>
          </w:tcPr>
          <w:p>
            <w:pPr>
              <w:pStyle w:val="BodyText"/>
            </w:pPr>
            <w:r>
              <w:t xml:space="preserve">Major &gt;45 min, laparoscopic &gt;45 min, arthroscopic</w:t>
            </w:r>
          </w:p>
        </w:tc>
        <w:tc>
          <w:tcPr>
            <w:vMerge w:val="restart"/>
          </w:tcPr>
          <w:p>
            <w:pPr>
              <w:pStyle w:val="BodyText"/>
            </w:pPr>
            <w:r>
              <w:t xml:space="preserve">--</w:t>
            </w:r>
          </w:p>
        </w:tc>
        <w:tc>
          <w:tcPr>
            <w:vMerge w:val="restart"/>
          </w:tcPr>
          <w:p>
            <w:pPr>
              <w:pStyle w:val="BodyText"/>
            </w:pPr>
            <w:r>
              <w:t xml:space="preserve">Elective major lower extremity arthroplasty</w:t>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vMerge w:val="restart"/>
          </w:tcPr>
          <w:p>
            <w:pPr>
              <w:pStyle w:val="BodyText"/>
            </w:pPr>
            <w:r>
              <w:t xml:space="preserve">Recent (&lt;1 month) event</w:t>
            </w:r>
          </w:p>
        </w:tc>
        <w:tc>
          <w:tcPr>
            <w:vMerge w:val="restart"/>
          </w:tcPr>
          <w:p>
            <w:pPr>
              <w:pStyle w:val="BodyText"/>
            </w:pPr>
            <w:r>
              <w:t xml:space="preserve">None</w:t>
            </w:r>
          </w:p>
        </w:tc>
        <w:tc>
          <w:tcPr>
            <w:vMerge w:val="restart"/>
          </w:tcPr>
          <w:p>
            <w:pPr>
              <w:pStyle w:val="BodyText"/>
            </w:pPr>
            <w:r>
              <w:t xml:space="preserve">Major surgery, CHF, sepsis, pneumonia, pregnancy or postpartum (if female)</w:t>
            </w:r>
          </w:p>
        </w:tc>
        <w:tc>
          <w:tcPr>
            <w:vMerge w:val="restart"/>
          </w:tcPr>
          <w:p>
            <w:pPr>
              <w:pStyle w:val="BodyText"/>
            </w:pPr>
            <w:r>
              <w:t xml:space="preserve">Immobilizing plaster cast</w:t>
            </w:r>
          </w:p>
        </w:tc>
        <w:tc>
          <w:tcPr>
            <w:vMerge w:val="restart"/>
          </w:tcPr>
          <w:p>
            <w:pPr>
              <w:pStyle w:val="BodyText"/>
            </w:pPr>
            <w:r>
              <w:t xml:space="preserve">--</w:t>
            </w:r>
          </w:p>
        </w:tc>
        <w:tc>
          <w:tcPr>
            <w:vMerge w:val="restart"/>
          </w:tcPr>
          <w:p>
            <w:pPr>
              <w:pStyle w:val="BodyText"/>
            </w:pPr>
            <w:r>
              <w:t xml:space="preserve">Hip, pelvis, or leg fracture; stroke; multiple trauma; acute spinal cord injury causing paralysis</w:t>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vMerge w:val="restart"/>
          </w:tcPr>
          <w:p>
            <w:pPr>
              <w:pStyle w:val="BodyText"/>
            </w:pPr>
            <w:r>
              <w:t xml:space="preserve">Venous disease or clotting disorder</w:t>
            </w:r>
          </w:p>
        </w:tc>
        <w:tc>
          <w:tcPr>
            <w:vMerge w:val="restart"/>
          </w:tcPr>
          <w:p>
            <w:pPr>
              <w:pStyle w:val="BodyText"/>
            </w:pPr>
            <w:r>
              <w:t xml:space="preserve">None</w:t>
            </w:r>
          </w:p>
        </w:tc>
        <w:tc>
          <w:tcPr>
            <w:vMerge w:val="restart"/>
          </w:tcPr>
          <w:p>
            <w:pPr>
              <w:pStyle w:val="BodyText"/>
            </w:pPr>
            <w:r>
              <w:t xml:space="preserve">Varicose veins, current swollen legs</w:t>
            </w:r>
          </w:p>
        </w:tc>
        <w:tc>
          <w:tcPr>
            <w:vMerge w:val="restart"/>
          </w:tcPr>
          <w:p>
            <w:pPr>
              <w:pStyle w:val="BodyText"/>
            </w:pPr>
            <w:r>
              <w:t xml:space="preserve">Current central venous access</w:t>
            </w:r>
          </w:p>
        </w:tc>
        <w:tc>
          <w:tcPr>
            <w:vMerge w:val="restart"/>
          </w:tcPr>
          <w:p>
            <w:pPr>
              <w:pStyle w:val="BodyText"/>
            </w:pPr>
            <w:r>
              <w:t xml:space="preserve">History of DVT/PE, family history of thrombosis, positive Factor V Leiden, positive prothrombin 20210A, elevated serum homocysteine, positive lupus anticoagulant, elevated anticardiolipin antibody, heparin-induced thrombocytopenia, other congenital or acquired thrombophilia</w:t>
            </w:r>
          </w:p>
        </w:tc>
        <w:tc>
          <w:tcPr>
            <w:vMerge w:val="restart"/>
          </w:tcPr>
          <w:p>
            <w:pPr>
              <w:pStyle w:val="BodyText"/>
            </w:pPr>
            <w:r>
              <w:t xml:space="preserve">--</w:t>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BodyText"/>
            </w:pPr>
            <w:r>
              <w:t xml:space="preserve">Mobility</w:t>
            </w:r>
          </w:p>
        </w:tc>
        <w:tc>
          <w:tcPr/>
          <w:p>
            <w:pPr>
              <w:pStyle w:val="BodyText"/>
            </w:pPr>
            <w:r>
              <w:t xml:space="preserve">Normal, out of bed</w:t>
            </w:r>
          </w:p>
        </w:tc>
        <w:tc>
          <w:tcPr/>
          <w:p>
            <w:pPr>
              <w:pStyle w:val="BodyText"/>
            </w:pPr>
            <w:r>
              <w:t xml:space="preserve">Medical patient currently on bed rest</w:t>
            </w:r>
          </w:p>
        </w:tc>
        <w:tc>
          <w:tcPr/>
          <w:p>
            <w:pPr>
              <w:pStyle w:val="BodyText"/>
            </w:pPr>
            <w:r>
              <w:t xml:space="preserve">Patient confined to bed &gt;72 hours</w:t>
            </w:r>
          </w:p>
        </w:tc>
        <w:tc>
          <w:tcPr/>
          <w:p>
            <w:pPr>
              <w:pStyle w:val="BodyText"/>
            </w:pPr>
            <w:r>
              <w:t xml:space="preserve">--</w:t>
            </w:r>
          </w:p>
        </w:tc>
        <w:tc>
          <w:tcPr/>
          <w:p>
            <w:pPr>
              <w:pStyle w:val="BodyText"/>
            </w:pPr>
            <w:r>
              <w:t xml:space="preserve">--</w:t>
            </w:r>
          </w:p>
        </w:tc>
      </w:tr>
      <w:tr>
        <w:tc>
          <w:tcPr>
            <w:vMerge w:val="restart"/>
          </w:tcPr>
          <w:p>
            <w:pPr>
              <w:pStyle w:val="BodyText"/>
            </w:pPr>
            <w:r>
              <w:t xml:space="preserve">Other present and past history</w:t>
            </w:r>
          </w:p>
        </w:tc>
        <w:tc>
          <w:tcPr>
            <w:vMerge w:val="restart"/>
          </w:tcPr>
          <w:p>
            <w:pPr>
              <w:pStyle w:val="BodyText"/>
            </w:pPr>
            <w:r>
              <w:t xml:space="preserve">None</w:t>
            </w:r>
          </w:p>
        </w:tc>
        <w:tc>
          <w:tcPr>
            <w:vMerge w:val="restart"/>
          </w:tcPr>
          <w:p>
            <w:pPr>
              <w:pStyle w:val="BodyText"/>
            </w:pPr>
            <w:r>
              <w:t xml:space="preserve">History of inflammatory bowel disease, BMI &gt;25, Acute MI, COPD, other risk factors, on oral contraceptives or hormone replacement</w:t>
            </w:r>
          </w:p>
          <w:p>
            <w:pPr>
              <w:pStyle w:val="BodyText"/>
            </w:pPr>
            <w:r>
              <w:t xml:space="preserve">(if female), history of unexplained stillborn, ≥3 spontaneous abortions, or premature birth with toxemia or growth-restricted infant (if female)</w:t>
            </w:r>
          </w:p>
        </w:tc>
        <w:tc>
          <w:tcPr>
            <w:vMerge w:val="restart"/>
          </w:tcPr>
          <w:p>
            <w:pPr>
              <w:pStyle w:val="BodyText"/>
            </w:pPr>
            <w:r>
              <w:t xml:space="preserve">Present or previous malignancy</w:t>
            </w:r>
          </w:p>
        </w:tc>
        <w:tc>
          <w:tcPr>
            <w:vMerge w:val="restart"/>
          </w:tcPr>
          <w:p>
            <w:pPr>
              <w:pStyle w:val="BodyText"/>
            </w:pPr>
            <w:r>
              <w:t xml:space="preserve">--</w:t>
            </w:r>
          </w:p>
        </w:tc>
        <w:tc>
          <w:tcPr>
            <w:vMerge w:val="restart"/>
          </w:tcPr>
          <w:p>
            <w:pPr>
              <w:pStyle w:val="BodyText"/>
            </w:pPr>
            <w:r>
              <w:t xml:space="preserve">--</w:t>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bl>
    <w:p>
      <w:pPr>
        <w:pStyle w:val="BodyText"/>
      </w:pPr>
      <w:r>
        <w:t xml:space="preserve"> </w:t>
      </w:r>
    </w:p>
    <w:p>
      <w:pPr>
        <w:pStyle w:val="BodyText"/>
      </w:pPr>
      <w:r>
        <w:t xml:space="preserve">Input definitions:</w:t>
      </w:r>
    </w:p>
    <w:tbl>
      <w:tblPr>
        <w:tblStyle w:val="Table"/>
        <w:tblW w:type="auto" w:w="0"/>
        <w:tblLook w:firstRow="0" w:lastRow="0" w:firstColumn="0" w:lastColumn="0" w:noHBand="0" w:noVBand="0" w:val="0000"/>
      </w:tblPr>
      <w:tblGrid>
        <w:gridCol w:w="3960"/>
        <w:gridCol w:w="3960"/>
      </w:tblGrid>
      <w:tr>
        <w:tc>
          <w:tcPr/>
          <w:p>
            <w:pPr>
              <w:pStyle w:val="Compact"/>
            </w:pPr>
            <w:r>
              <w:rPr>
                <w:b/>
                <w:bCs/>
              </w:rPr>
              <w:t xml:space="preserve">Input</w:t>
            </w:r>
          </w:p>
        </w:tc>
        <w:tc>
          <w:tcPr/>
          <w:p>
            <w:pPr>
              <w:pStyle w:val="Compact"/>
            </w:pPr>
            <w:r>
              <w:rPr>
                <w:b/>
                <w:bCs/>
              </w:rPr>
              <w:t xml:space="preserve">Definition</w:t>
            </w:r>
          </w:p>
        </w:tc>
      </w:tr>
      <w:tr>
        <w:tc>
          <w:tcPr/>
          <w:p>
            <w:pPr>
              <w:pStyle w:val="Compact"/>
            </w:pPr>
            <w:r>
              <w:t xml:space="preserve">Age</w:t>
            </w:r>
          </w:p>
        </w:tc>
        <w:tc>
          <w:tcPr/>
          <w:p>
            <w:pPr>
              <w:pStyle w:val="Compact"/>
            </w:pPr>
            <w:r>
              <w:t xml:space="preserve">Venous thromboembolism is</w:t>
            </w:r>
            <w:r>
              <w:t xml:space="preserve"> </w:t>
            </w:r>
            <w:hyperlink r:id="rId31">
              <w:r>
                <w:rPr>
                  <w:rStyle w:val="Hyperlink"/>
                </w:rPr>
                <w:t xml:space="preserve">rare</w:t>
              </w:r>
            </w:hyperlink>
            <w:r>
              <w:t xml:space="preserve"> </w:t>
            </w:r>
            <w:r>
              <w:t xml:space="preserve">in children and young adults unless they have strong predisposing risk factors. These may include cancer, trauma, indwelling lines , systemic infection, or family history of thrombosis. Patients who are greater than</w:t>
            </w:r>
            <w:r>
              <w:t xml:space="preserve"> </w:t>
            </w:r>
            <w:hyperlink r:id="rId21">
              <w:r>
                <w:rPr>
                  <w:rStyle w:val="Hyperlink"/>
                </w:rPr>
                <w:t xml:space="preserve">40 years</w:t>
              </w:r>
            </w:hyperlink>
            <w:r>
              <w:t xml:space="preserve"> </w:t>
            </w:r>
            <w:r>
              <w:t xml:space="preserve">of age remain at significantly increased risk compared to younger patients and the risk approximately doubles with each subsequent</w:t>
            </w:r>
            <w:r>
              <w:t xml:space="preserve"> </w:t>
            </w:r>
            <w:hyperlink r:id="rId32">
              <w:r>
                <w:rPr>
                  <w:rStyle w:val="Hyperlink"/>
                </w:rPr>
                <w:t xml:space="preserve">decade</w:t>
              </w:r>
            </w:hyperlink>
            <w:r>
              <w:t xml:space="preserve">. </w:t>
            </w:r>
          </w:p>
        </w:tc>
      </w:tr>
      <w:tr>
        <w:tc>
          <w:tcPr/>
          <w:p>
            <w:pPr>
              <w:pStyle w:val="Compact"/>
            </w:pPr>
            <w:r>
              <w:t xml:space="preserve">Type of surgery</w:t>
            </w:r>
          </w:p>
        </w:tc>
        <w:tc>
          <w:tcPr/>
          <w:p>
            <w:pPr>
              <w:pStyle w:val="Compact"/>
            </w:pPr>
            <w:r>
              <w:t xml:space="preserve">Minor surgery does not refer to</w:t>
            </w:r>
            <w:r>
              <w:t xml:space="preserve"> </w:t>
            </w:r>
            <w:hyperlink r:id="rId20">
              <w:r>
                <w:rPr>
                  <w:rStyle w:val="Hyperlink"/>
                </w:rPr>
                <w:t xml:space="preserve">type of surgery</w:t>
              </w:r>
            </w:hyperlink>
            <w:r>
              <w:t xml:space="preserve"> </w:t>
            </w:r>
            <w:r>
              <w:t xml:space="preserve">but rather length of anesthesia &lt;45 minutes. Major surgery is defined as procedures with</w:t>
            </w:r>
            <w:r>
              <w:t xml:space="preserve"> </w:t>
            </w:r>
            <w:hyperlink r:id="rId21">
              <w:r>
                <w:rPr>
                  <w:rStyle w:val="Hyperlink"/>
                </w:rPr>
                <w:t xml:space="preserve">general</w:t>
              </w:r>
            </w:hyperlink>
            <w:r>
              <w:t xml:space="preserve"> </w:t>
            </w:r>
            <w:r>
              <w:t xml:space="preserve">or regional anesthesia</w:t>
            </w:r>
            <w:r>
              <w:t xml:space="preserve"> </w:t>
            </w:r>
            <w:hyperlink r:id="rId20">
              <w:r>
                <w:rPr>
                  <w:rStyle w:val="Hyperlink"/>
                </w:rPr>
                <w:t xml:space="preserve">&gt;45</w:t>
              </w:r>
            </w:hyperlink>
            <w:r>
              <w:t xml:space="preserve"> </w:t>
            </w:r>
            <w:r>
              <w:t xml:space="preserve">minutes are included. These include open, laproscopic, or arthroscopic procedures.</w:t>
            </w:r>
            <w:r>
              <w:t xml:space="preserve"> </w:t>
            </w:r>
            <w:hyperlink r:id="rId22">
              <w:r>
                <w:rPr>
                  <w:rStyle w:val="Hyperlink"/>
                </w:rPr>
                <w:t xml:space="preserve">Reoperations</w:t>
              </w:r>
            </w:hyperlink>
            <w:r>
              <w:t xml:space="preserve"> </w:t>
            </w:r>
            <w:r>
              <w:t xml:space="preserve">during the same hospitalization count for 2 points each if the anesthesia time exceeds 45 minutes. Major lower extremity arthroplasties are high-risk procedures if additional risk factors are present that further increases the risk. It has been shown that once the score reaches</w:t>
            </w:r>
            <w:r>
              <w:t xml:space="preserve"> </w:t>
            </w:r>
            <w:hyperlink r:id="rId23">
              <w:r>
                <w:rPr>
                  <w:rStyle w:val="Hyperlink"/>
                </w:rPr>
                <w:t xml:space="preserve">≥10</w:t>
              </w:r>
            </w:hyperlink>
            <w:r>
              <w:t xml:space="preserve"> </w:t>
            </w:r>
            <w:r>
              <w:t xml:space="preserve">the VTE risk is significantly</w:t>
            </w:r>
            <w:r>
              <w:t xml:space="preserve"> </w:t>
            </w:r>
            <w:hyperlink r:id="rId24">
              <w:r>
                <w:rPr>
                  <w:rStyle w:val="Hyperlink"/>
                </w:rPr>
                <w:t xml:space="preserve">greater</w:t>
              </w:r>
            </w:hyperlink>
            <w:r>
              <w:t xml:space="preserve">. If the procedure is being done as a result of a hip</w:t>
            </w:r>
            <w:r>
              <w:t xml:space="preserve"> </w:t>
            </w:r>
            <w:hyperlink r:id="rId25">
              <w:r>
                <w:rPr>
                  <w:rStyle w:val="Hyperlink"/>
                </w:rPr>
                <w:t xml:space="preserve">fracture</w:t>
              </w:r>
            </w:hyperlink>
            <w:r>
              <w:t xml:space="preserve">, preoperative screening may be beneficial.</w:t>
            </w:r>
          </w:p>
        </w:tc>
      </w:tr>
      <w:tr>
        <w:tc>
          <w:tcPr/>
          <w:p>
            <w:pPr>
              <w:pStyle w:val="Compact"/>
            </w:pPr>
            <w:r>
              <w:t xml:space="preserve">Major surgery (within one month)</w:t>
            </w:r>
          </w:p>
        </w:tc>
        <w:tc>
          <w:tcPr/>
          <w:p>
            <w:pPr>
              <w:pStyle w:val="Compact"/>
            </w:pPr>
            <w:r>
              <w:t xml:space="preserve">Major surgery done during the preceding month includes past staged procedures.</w:t>
            </w:r>
          </w:p>
        </w:tc>
      </w:tr>
      <w:tr>
        <w:tc>
          <w:tcPr/>
          <w:p>
            <w:pPr>
              <w:pStyle w:val="Compact"/>
            </w:pPr>
            <w:r>
              <w:t xml:space="preserve">CHF</w:t>
            </w:r>
          </w:p>
        </w:tc>
        <w:tc>
          <w:tcPr/>
          <w:p>
            <w:pPr>
              <w:pStyle w:val="Compact"/>
            </w:pPr>
            <w:r>
              <w:t xml:space="preserve">The Venous Thromboembolism risk is similar for those with preserved or reduced ejection fraction. A variety of criteria fit the definition of this risk factor.</w:t>
            </w:r>
          </w:p>
        </w:tc>
      </w:tr>
      <w:tr>
        <w:tc>
          <w:tcPr/>
          <w:p>
            <w:pPr>
              <w:pStyle w:val="Compact"/>
            </w:pPr>
            <w:r>
              <w:t xml:space="preserve">Sepsis</w:t>
            </w:r>
          </w:p>
        </w:tc>
        <w:tc>
          <w:tcPr/>
          <w:p>
            <w:pPr>
              <w:pStyle w:val="Compact"/>
            </w:pPr>
            <w:r>
              <w:t xml:space="preserve">We define this factor as those requiring IV antibiotics.  A wide variety of infections have been identified as a risk factor for</w:t>
            </w:r>
            <w:r>
              <w:t xml:space="preserve"> </w:t>
            </w:r>
            <w:hyperlink r:id="rId33">
              <w:r>
                <w:rPr>
                  <w:rStyle w:val="Hyperlink"/>
                </w:rPr>
                <w:t xml:space="preserve">thrombosis</w:t>
              </w:r>
            </w:hyperlink>
            <w:r>
              <w:t xml:space="preserve">. “Infection promotes thrombosis through endothelial injury, tissue factor-induced activation of the procoagulant pathway, down-regulation of the endogenous anticoagulant pathway, and inhibition of fibrinolysis.”</w:t>
            </w:r>
          </w:p>
        </w:tc>
      </w:tr>
      <w:tr>
        <w:tc>
          <w:tcPr/>
          <w:p>
            <w:pPr>
              <w:pStyle w:val="Compact"/>
            </w:pPr>
            <w:r>
              <w:t xml:space="preserve">Pneumonia</w:t>
            </w:r>
          </w:p>
        </w:tc>
        <w:tc>
          <w:tcPr/>
          <w:p>
            <w:pPr>
              <w:pStyle w:val="Compact"/>
            </w:pPr>
            <w:r>
              <w:t xml:space="preserve">Preoperative pneumonia is a significant risk factor for</w:t>
            </w:r>
            <w:r>
              <w:t xml:space="preserve"> </w:t>
            </w:r>
            <w:hyperlink r:id="rId34">
              <w:r>
                <w:rPr>
                  <w:rStyle w:val="Hyperlink"/>
                </w:rPr>
                <w:t xml:space="preserve">VTE</w:t>
              </w:r>
            </w:hyperlink>
            <w:r>
              <w:t xml:space="preserve">. Postoperative pneumonia is also a significant  VTE risk</w:t>
            </w:r>
            <w:r>
              <w:t xml:space="preserve"> </w:t>
            </w:r>
            <w:hyperlink r:id="rId35">
              <w:r>
                <w:rPr>
                  <w:rStyle w:val="Hyperlink"/>
                </w:rPr>
                <w:t xml:space="preserve">factor</w:t>
              </w:r>
            </w:hyperlink>
            <w:r>
              <w:t xml:space="preserve">. Do not count an additional point for infection unless another source of infection is identified.</w:t>
            </w:r>
          </w:p>
        </w:tc>
      </w:tr>
      <w:tr>
        <w:tc>
          <w:tcPr/>
          <w:p>
            <w:pPr>
              <w:pStyle w:val="Compact"/>
            </w:pPr>
            <w:r>
              <w:t xml:space="preserve">Immobilizing plaster cast</w:t>
            </w:r>
          </w:p>
        </w:tc>
        <w:tc>
          <w:tcPr/>
          <w:p>
            <w:pPr>
              <w:pStyle w:val="Compact"/>
            </w:pPr>
            <w:r>
              <w:t xml:space="preserve">This includes any</w:t>
            </w:r>
            <w:r>
              <w:t xml:space="preserve"> </w:t>
            </w:r>
            <w:hyperlink r:id="rId36">
              <w:r>
                <w:rPr>
                  <w:rStyle w:val="Hyperlink"/>
                </w:rPr>
                <w:t xml:space="preserve">device</w:t>
              </w:r>
            </w:hyperlink>
            <w:r>
              <w:t xml:space="preserve"> </w:t>
            </w:r>
            <w:r>
              <w:t xml:space="preserve">that interferes with calf muscle pumping action by limiting ankle</w:t>
            </w:r>
            <w:r>
              <w:t xml:space="preserve"> </w:t>
            </w:r>
            <w:hyperlink r:id="rId37">
              <w:r>
                <w:rPr>
                  <w:rStyle w:val="Hyperlink"/>
                </w:rPr>
                <w:t xml:space="preserve">motion</w:t>
              </w:r>
            </w:hyperlink>
            <w:r>
              <w:t xml:space="preserve">. Patients who are not weight bearing are also at-risk since no improvement in baseline blood flow</w:t>
            </w:r>
            <w:r>
              <w:t xml:space="preserve"> </w:t>
            </w:r>
            <w:hyperlink r:id="rId38">
              <w:r>
                <w:rPr>
                  <w:rStyle w:val="Hyperlink"/>
                </w:rPr>
                <w:t xml:space="preserve">occurs</w:t>
              </w:r>
            </w:hyperlink>
            <w:r>
              <w:t xml:space="preserve">. </w:t>
            </w:r>
          </w:p>
        </w:tc>
      </w:tr>
      <w:tr>
        <w:tc>
          <w:tcPr/>
          <w:p>
            <w:pPr>
              <w:pStyle w:val="Compact"/>
            </w:pPr>
            <w:r>
              <w:t xml:space="preserve">Hip, pelvis, or leg fracture</w:t>
            </w:r>
          </w:p>
        </w:tc>
        <w:tc>
          <w:tcPr/>
          <w:p>
            <w:pPr>
              <w:pStyle w:val="Compact"/>
            </w:pPr>
            <w:r>
              <w:t xml:space="preserve">These fractures are associated with an increased risk of VTE and the degree of risk varies with location of the</w:t>
            </w:r>
            <w:r>
              <w:t xml:space="preserve"> </w:t>
            </w:r>
            <w:hyperlink r:id="rId39">
              <w:r>
                <w:rPr>
                  <w:rStyle w:val="Hyperlink"/>
                </w:rPr>
                <w:t xml:space="preserve">fracture</w:t>
              </w:r>
            </w:hyperlink>
            <w:r>
              <w:t xml:space="preserve">. Although no clear guidelines are available, the presence of additional risk factors increases the degree of thrombotic risk.  The incidence of pulmonary emboli may occur with equal frequency for above vs. below knee thrombosis and temporary IVC filters can prevent these emboli depending upon the clinical</w:t>
            </w:r>
            <w:r>
              <w:t xml:space="preserve"> </w:t>
            </w:r>
            <w:hyperlink r:id="rId40">
              <w:r>
                <w:rPr>
                  <w:rStyle w:val="Hyperlink"/>
                </w:rPr>
                <w:t xml:space="preserve">circumstances</w:t>
              </w:r>
            </w:hyperlink>
            <w:r>
              <w:t xml:space="preserve">.</w:t>
            </w:r>
          </w:p>
        </w:tc>
      </w:tr>
      <w:tr>
        <w:tc>
          <w:tcPr/>
          <w:p>
            <w:pPr>
              <w:pStyle w:val="Compact"/>
            </w:pPr>
            <w:r>
              <w:t xml:space="preserve">Stroke</w:t>
            </w:r>
          </w:p>
        </w:tc>
        <w:tc>
          <w:tcPr/>
          <w:p>
            <w:pPr>
              <w:pStyle w:val="Compact"/>
            </w:pPr>
            <w:r>
              <w:t xml:space="preserve">Stroke is the 3rd leading cause of death and frequently leads to</w:t>
            </w:r>
            <w:r>
              <w:t xml:space="preserve"> </w:t>
            </w:r>
            <w:hyperlink r:id="rId41">
              <w:r>
                <w:rPr>
                  <w:rStyle w:val="Hyperlink"/>
                </w:rPr>
                <w:t xml:space="preserve">venous thromboembolism</w:t>
              </w:r>
            </w:hyperlink>
            <w:r>
              <w:t xml:space="preserve">. A paradoxical embolus can occur in a patient from a DVT that travels to the heart and through a patent foramen</w:t>
            </w:r>
            <w:r>
              <w:t xml:space="preserve"> </w:t>
            </w:r>
            <w:hyperlink r:id="rId42">
              <w:r>
                <w:rPr>
                  <w:rStyle w:val="Hyperlink"/>
                </w:rPr>
                <w:t xml:space="preserve">ovale</w:t>
              </w:r>
            </w:hyperlink>
            <w:r>
              <w:t xml:space="preserve"> </w:t>
            </w:r>
            <w:r>
              <w:t xml:space="preserve">(PFO) entering the systemic circulation leading to a thrombotic stroke. Another common cause of an embolic stroke occurs in patients with</w:t>
            </w:r>
            <w:r>
              <w:t xml:space="preserve"> </w:t>
            </w:r>
            <w:hyperlink r:id="rId43">
              <w:r>
                <w:rPr>
                  <w:rStyle w:val="Hyperlink"/>
                </w:rPr>
                <w:t xml:space="preserve">atrial fibrillation</w:t>
              </w:r>
            </w:hyperlink>
            <w:r>
              <w:t xml:space="preserve">. Thrombotic strokes in the past should be counted as a previous thrombosis and scored as 3</w:t>
            </w:r>
            <w:r>
              <w:t xml:space="preserve"> </w:t>
            </w:r>
            <w:hyperlink r:id="rId44">
              <w:r>
                <w:rPr>
                  <w:rStyle w:val="Hyperlink"/>
                </w:rPr>
                <w:t xml:space="preserve">points</w:t>
              </w:r>
            </w:hyperlink>
            <w:r>
              <w:t xml:space="preserve">. </w:t>
            </w:r>
          </w:p>
        </w:tc>
      </w:tr>
      <w:tr>
        <w:tc>
          <w:tcPr/>
          <w:p>
            <w:pPr>
              <w:pStyle w:val="Compact"/>
            </w:pPr>
            <w:r>
              <w:t xml:space="preserve">Multiple trauma</w:t>
            </w:r>
          </w:p>
        </w:tc>
        <w:tc>
          <w:tcPr/>
          <w:p>
            <w:pPr>
              <w:pStyle w:val="Compact"/>
            </w:pPr>
            <w:r>
              <w:t xml:space="preserve">This includes patients with multiple injuries involving fractures, severe chest and abdominal contusions, and internal injuries. The presence of venous thromboembolism increases mortality and prophylaxis is paramount in these </w:t>
            </w:r>
            <w:hyperlink r:id="rId45">
              <w:r>
                <w:rPr>
                  <w:rStyle w:val="Hyperlink"/>
                </w:rPr>
                <w:t xml:space="preserve">patients</w:t>
              </w:r>
            </w:hyperlink>
            <w:r>
              <w:t xml:space="preserve">. Bleeding issues in these patients preventing proper anticoagulation can be addressed with a program of surveillance and/or judicious use of temporary venacava </w:t>
            </w:r>
            <w:hyperlink r:id="rId46">
              <w:r>
                <w:rPr>
                  <w:rStyle w:val="Hyperlink"/>
                </w:rPr>
                <w:t xml:space="preserve">filters</w:t>
              </w:r>
            </w:hyperlink>
            <w:r>
              <w:t xml:space="preserve">.</w:t>
            </w:r>
          </w:p>
        </w:tc>
      </w:tr>
      <w:tr>
        <w:tc>
          <w:tcPr/>
          <w:p>
            <w:pPr>
              <w:pStyle w:val="Compact"/>
            </w:pPr>
            <w:r>
              <w:t xml:space="preserve">Acute spinal sord injury causing paralysis</w:t>
            </w:r>
          </w:p>
        </w:tc>
        <w:tc>
          <w:tcPr/>
          <w:p>
            <w:pPr>
              <w:pStyle w:val="Compact"/>
            </w:pPr>
            <w:r>
              <w:t xml:space="preserve">Patients often do not report symptoms due to the nature of their nerve damage. Initial VTE presentation may include extensive</w:t>
            </w:r>
            <w:r>
              <w:t xml:space="preserve"> </w:t>
            </w:r>
            <w:hyperlink r:id="rId47">
              <w:r>
                <w:rPr>
                  <w:rStyle w:val="Hyperlink"/>
                </w:rPr>
                <w:t xml:space="preserve">thrombosis</w:t>
              </w:r>
            </w:hyperlink>
            <w:r>
              <w:t xml:space="preserve"> </w:t>
            </w:r>
            <w:r>
              <w:t xml:space="preserve">and/or death. Management requires a multidisciplinary</w:t>
            </w:r>
            <w:r>
              <w:t xml:space="preserve"> </w:t>
            </w:r>
            <w:hyperlink r:id="rId48">
              <w:r>
                <w:rPr>
                  <w:rStyle w:val="Hyperlink"/>
                </w:rPr>
                <w:t xml:space="preserve">approach</w:t>
              </w:r>
            </w:hyperlink>
            <w:r>
              <w:t xml:space="preserve">.</w:t>
            </w:r>
          </w:p>
        </w:tc>
      </w:tr>
      <w:tr>
        <w:tc>
          <w:tcPr/>
          <w:p>
            <w:pPr>
              <w:pStyle w:val="Compact"/>
            </w:pPr>
            <w:r>
              <w:t xml:space="preserve">Varicose veins</w:t>
            </w:r>
          </w:p>
        </w:tc>
        <w:tc>
          <w:tcPr/>
          <w:p>
            <w:pPr>
              <w:pStyle w:val="Compact"/>
            </w:pPr>
            <w:r>
              <w:t xml:space="preserve">These include visible bulging veins and not spider veins or telangiectasia. Varicose veins represent a risk factor for</w:t>
            </w:r>
            <w:r>
              <w:t xml:space="preserve"> </w:t>
            </w:r>
            <w:hyperlink r:id="rId49">
              <w:r>
                <w:rPr>
                  <w:rStyle w:val="Hyperlink"/>
                </w:rPr>
                <w:t xml:space="preserve">thrombosis</w:t>
              </w:r>
            </w:hyperlink>
            <w:r>
              <w:t xml:space="preserve">. This risk is especially true in cancer</w:t>
            </w:r>
            <w:r>
              <w:t xml:space="preserve"> </w:t>
            </w:r>
            <w:hyperlink r:id="rId50">
              <w:r>
                <w:rPr>
                  <w:rStyle w:val="Hyperlink"/>
                </w:rPr>
                <w:t xml:space="preserve">patients</w:t>
              </w:r>
            </w:hyperlink>
            <w:r>
              <w:t xml:space="preserve">. The notion that varicose veins are a harmless benign disorder is not well</w:t>
            </w:r>
            <w:r>
              <w:t xml:space="preserve"> </w:t>
            </w:r>
            <w:hyperlink r:id="rId51">
              <w:r>
                <w:rPr>
                  <w:rStyle w:val="Hyperlink"/>
                </w:rPr>
                <w:t xml:space="preserve">founded</w:t>
              </w:r>
            </w:hyperlink>
            <w:r>
              <w:t xml:space="preserve">.</w:t>
            </w:r>
          </w:p>
        </w:tc>
      </w:tr>
      <w:tr>
        <w:tc>
          <w:tcPr/>
          <w:p>
            <w:pPr>
              <w:pStyle w:val="Compact"/>
            </w:pPr>
            <w:r>
              <w:t xml:space="preserve">Current swollen legs</w:t>
            </w:r>
          </w:p>
        </w:tc>
        <w:tc>
          <w:tcPr/>
          <w:p>
            <w:pPr>
              <w:pStyle w:val="Compact"/>
            </w:pPr>
            <w:hyperlink r:id="rId52">
              <w:r>
                <w:rPr>
                  <w:rStyle w:val="Hyperlink"/>
                </w:rPr>
                <w:t xml:space="preserve">Swollen legs</w:t>
              </w:r>
            </w:hyperlink>
            <w:r>
              <w:t xml:space="preserve"> </w:t>
            </w:r>
            <w:r>
              <w:t xml:space="preserve">include pitting edema of any level, loss of definition of the Bony prominences, obscured surface foot veins, or indentation of the leg when a stocking is removed. This factor refers to either one or two legs affected. The physical exam should include pretibial pressure to see if an indentation is present indicating leg</w:t>
            </w:r>
            <w:r>
              <w:t xml:space="preserve"> </w:t>
            </w:r>
            <w:hyperlink r:id="rId53">
              <w:r>
                <w:rPr>
                  <w:rStyle w:val="Hyperlink"/>
                </w:rPr>
                <w:t xml:space="preserve">swelling</w:t>
              </w:r>
            </w:hyperlink>
            <w:r>
              <w:t xml:space="preserve">. </w:t>
            </w:r>
          </w:p>
        </w:tc>
      </w:tr>
      <w:tr>
        <w:tc>
          <w:tcPr/>
          <w:p>
            <w:pPr>
              <w:pStyle w:val="Compact"/>
            </w:pPr>
            <w:r>
              <w:t xml:space="preserve">Current central venous access</w:t>
            </w:r>
          </w:p>
        </w:tc>
        <w:tc>
          <w:tcPr/>
          <w:p>
            <w:pPr>
              <w:pStyle w:val="Compact"/>
            </w:pPr>
            <w:hyperlink r:id="rId54">
              <w:r>
                <w:rPr>
                  <w:rStyle w:val="Hyperlink"/>
                </w:rPr>
                <w:t xml:space="preserve">Catheter</w:t>
              </w:r>
            </w:hyperlink>
            <w:r>
              <w:t xml:space="preserve"> </w:t>
            </w:r>
            <w:r>
              <w:t xml:space="preserve">in a blood vessel in the arm, neck, or chest that delivers blood or medicine directly to the heart within the last month (</w:t>
            </w:r>
            <w:hyperlink r:id="rId55">
              <w:r>
                <w:rPr>
                  <w:rStyle w:val="Hyperlink"/>
                </w:rPr>
                <w:t xml:space="preserve">central venous access</w:t>
              </w:r>
            </w:hyperlink>
            <w:r>
              <w:t xml:space="preserve">, port, PICC line).</w:t>
            </w:r>
          </w:p>
        </w:tc>
      </w:tr>
      <w:tr>
        <w:tc>
          <w:tcPr/>
          <w:p>
            <w:pPr>
              <w:pStyle w:val="Compact"/>
            </w:pPr>
            <w:r>
              <w:t xml:space="preserve">History of DVT, PE, or thrombotic stroke</w:t>
            </w:r>
          </w:p>
        </w:tc>
        <w:tc>
          <w:tcPr/>
          <w:p>
            <w:pPr>
              <w:pStyle w:val="Compact"/>
            </w:pPr>
            <w:r>
              <w:t xml:space="preserve">Each episode of venous thrombosis in any location as well as pulmonary emboli are included.  The combination of a DVT and PE remains three points. Subsequent surgical procedures in a patient with a thrombotic history are associated with a very high incidence of</w:t>
            </w:r>
            <w:r>
              <w:t xml:space="preserve"> </w:t>
            </w:r>
            <w:hyperlink r:id="rId56">
              <w:r>
                <w:rPr>
                  <w:rStyle w:val="Hyperlink"/>
                </w:rPr>
                <w:t xml:space="preserve">thrombosis</w:t>
              </w:r>
            </w:hyperlink>
            <w:r>
              <w:t xml:space="preserve">. Extended prophylaxis for up to one month may be</w:t>
            </w:r>
            <w:r>
              <w:t xml:space="preserve"> </w:t>
            </w:r>
            <w:hyperlink r:id="rId57">
              <w:r>
                <w:rPr>
                  <w:rStyle w:val="Hyperlink"/>
                </w:rPr>
                <w:t xml:space="preserve">indicated</w:t>
              </w:r>
            </w:hyperlink>
            <w:r>
              <w:t xml:space="preserve">. </w:t>
            </w:r>
          </w:p>
        </w:tc>
      </w:tr>
      <w:tr>
        <w:tc>
          <w:tcPr/>
          <w:p>
            <w:pPr>
              <w:pStyle w:val="Compact"/>
            </w:pPr>
            <w:r>
              <w:t xml:space="preserve">Family history of thrombosis</w:t>
            </w:r>
          </w:p>
        </w:tc>
        <w:tc>
          <w:tcPr/>
          <w:p>
            <w:pPr>
              <w:pStyle w:val="Compact"/>
            </w:pPr>
            <w:r>
              <w:t xml:space="preserve">One of the most</w:t>
            </w:r>
            <w:r>
              <w:t xml:space="preserve"> </w:t>
            </w:r>
            <w:hyperlink r:id="rId58">
              <w:r>
                <w:rPr>
                  <w:rStyle w:val="Hyperlink"/>
                </w:rPr>
                <w:t xml:space="preserve">powerful</w:t>
              </w:r>
            </w:hyperlink>
            <w:r>
              <w:t xml:space="preserve"> </w:t>
            </w:r>
            <w:r>
              <w:t xml:space="preserve">risk factors for thrombosis and also frequently not asked or included in some risk models, and frequently not included in</w:t>
            </w:r>
            <w:r>
              <w:t xml:space="preserve"> </w:t>
            </w:r>
            <w:hyperlink r:id="rId59">
              <w:r>
                <w:rPr>
                  <w:rStyle w:val="Hyperlink"/>
                </w:rPr>
                <w:t xml:space="preserve">clinical trials</w:t>
              </w:r>
            </w:hyperlink>
            <w:r>
              <w:t xml:space="preserve">. Increased risk has been documented in first, second, and</w:t>
            </w:r>
            <w:r>
              <w:t xml:space="preserve"> </w:t>
            </w:r>
            <w:hyperlink r:id="rId60">
              <w:r>
                <w:rPr>
                  <w:rStyle w:val="Hyperlink"/>
                </w:rPr>
                <w:t xml:space="preserve">third-degree</w:t>
              </w:r>
            </w:hyperlink>
            <w:r>
              <w:t xml:space="preserve"> </w:t>
            </w:r>
            <w:r>
              <w:t xml:space="preserve">relatives. This includes any DVT, PE, or thrombotic</w:t>
            </w:r>
            <w:r>
              <w:t xml:space="preserve"> </w:t>
            </w:r>
            <w:hyperlink r:id="rId61">
              <w:r>
                <w:rPr>
                  <w:rStyle w:val="Hyperlink"/>
                </w:rPr>
                <w:t xml:space="preserve">stroke</w:t>
              </w:r>
            </w:hyperlink>
            <w:r>
              <w:t xml:space="preserve">.</w:t>
            </w:r>
          </w:p>
        </w:tc>
      </w:tr>
      <w:tr>
        <w:tc>
          <w:tcPr/>
          <w:p>
            <w:pPr>
              <w:pStyle w:val="Compact"/>
            </w:pPr>
            <w:r>
              <w:t xml:space="preserve">Other congenital or acquired thrombophilia</w:t>
            </w:r>
          </w:p>
        </w:tc>
        <w:tc>
          <w:tcPr/>
          <w:p>
            <w:pPr>
              <w:pStyle w:val="Compact"/>
            </w:pPr>
            <w:r>
              <w:t xml:space="preserve">Thrombophilia is a congenital or acquired condition characterized by an imbalance in hemostasis producing a hypercoagulable state. A family member with a history of a VTE would score 3. If that family member had a positive thrombophilia marker, the patient score would be 6 points. Multiple thrombophilia markers together increase the VTE potential and are scored as 3 for each</w:t>
            </w:r>
            <w:r>
              <w:t xml:space="preserve"> </w:t>
            </w:r>
            <w:hyperlink r:id="rId62">
              <w:r>
                <w:rPr>
                  <w:rStyle w:val="Hyperlink"/>
                </w:rPr>
                <w:t xml:space="preserve">factor</w:t>
              </w:r>
            </w:hyperlink>
            <w:r>
              <w:t xml:space="preserve">.</w:t>
            </w:r>
          </w:p>
        </w:tc>
      </w:tr>
      <w:tr>
        <w:tc>
          <w:tcPr/>
          <w:p>
            <w:pPr>
              <w:pStyle w:val="Compact"/>
            </w:pPr>
            <w:r>
              <w:t xml:space="preserve">Mobility</w:t>
            </w:r>
          </w:p>
        </w:tc>
        <w:tc>
          <w:tcPr/>
          <w:p>
            <w:pPr>
              <w:pStyle w:val="Compact"/>
            </w:pPr>
            <w:r>
              <w:t xml:space="preserve">Bed rest is defined as not being able to walk 30 feet (10 meters) at one time. Bathroom privileges or walking in the room are not considered ambulation. Walking this distance reduces the VTE risk by</w:t>
            </w:r>
            <w:r>
              <w:t xml:space="preserve"> </w:t>
            </w:r>
            <w:hyperlink r:id="rId26">
              <w:r>
                <w:rPr>
                  <w:rStyle w:val="Hyperlink"/>
                </w:rPr>
                <w:t xml:space="preserve">50%</w:t>
              </w:r>
            </w:hyperlink>
            <w:r>
              <w:t xml:space="preserve">. Click here for</w:t>
            </w:r>
            <w:r>
              <w:t xml:space="preserve"> </w:t>
            </w:r>
            <w:hyperlink r:id="rId27">
              <w:r>
                <w:rPr>
                  <w:rStyle w:val="Hyperlink"/>
                </w:rPr>
                <w:t xml:space="preserve">VIDEO</w:t>
              </w:r>
            </w:hyperlink>
            <w:r>
              <w:t xml:space="preserve">. PE mortality increased for those immobile for</w:t>
            </w:r>
            <w:r>
              <w:t xml:space="preserve"> </w:t>
            </w:r>
            <w:hyperlink r:id="rId28">
              <w:r>
                <w:rPr>
                  <w:rStyle w:val="Hyperlink"/>
                </w:rPr>
                <w:t xml:space="preserve">&gt;4 days</w:t>
              </w:r>
            </w:hyperlink>
            <w:r>
              <w:t xml:space="preserve">.</w:t>
            </w:r>
          </w:p>
        </w:tc>
      </w:tr>
      <w:tr>
        <w:tc>
          <w:tcPr/>
          <w:p>
            <w:pPr>
              <w:pStyle w:val="Compact"/>
            </w:pPr>
            <w:r>
              <w:t xml:space="preserve">History of inflammatory bowel disease</w:t>
            </w:r>
          </w:p>
        </w:tc>
        <w:tc>
          <w:tcPr/>
          <w:p>
            <w:pPr>
              <w:pStyle w:val="Compact"/>
            </w:pPr>
            <w:r>
              <w:t xml:space="preserve">This risk factor includes regional ileitis, ulcerative colitis, and not irritable bowel syndrome. Patients with inactive as well as active disease should be</w:t>
            </w:r>
            <w:r>
              <w:t xml:space="preserve"> </w:t>
            </w:r>
            <w:hyperlink r:id="rId63">
              <w:r>
                <w:rPr>
                  <w:rStyle w:val="Hyperlink"/>
                </w:rPr>
                <w:t xml:space="preserve">included</w:t>
              </w:r>
            </w:hyperlink>
            <w:r>
              <w:t xml:space="preserve">. The thrombotic risk is increased during active disease. Extended prophylaxis post operatively may be of benefit in the presence of acute</w:t>
            </w:r>
            <w:r>
              <w:t xml:space="preserve"> </w:t>
            </w:r>
            <w:hyperlink r:id="rId64">
              <w:r>
                <w:rPr>
                  <w:rStyle w:val="Hyperlink"/>
                </w:rPr>
                <w:t xml:space="preserve">disease</w:t>
              </w:r>
            </w:hyperlink>
            <w:r>
              <w:t xml:space="preserve">. </w:t>
            </w:r>
          </w:p>
        </w:tc>
      </w:tr>
      <w:tr>
        <w:tc>
          <w:tcPr/>
          <w:p>
            <w:pPr>
              <w:pStyle w:val="Compact"/>
            </w:pPr>
            <w:r>
              <w:t xml:space="preserve">BMI &gt;25</w:t>
            </w:r>
          </w:p>
        </w:tc>
        <w:tc>
          <w:tcPr/>
          <w:p>
            <w:pPr>
              <w:pStyle w:val="Compact"/>
            </w:pPr>
            <w:r>
              <w:t xml:space="preserve">This factor was derived from several sources including criteria associated with readmission following total</w:t>
            </w:r>
            <w:r>
              <w:t xml:space="preserve"> </w:t>
            </w:r>
            <w:hyperlink r:id="rId65">
              <w:r>
                <w:rPr>
                  <w:rStyle w:val="Hyperlink"/>
                </w:rPr>
                <w:t xml:space="preserve">joint replacement</w:t>
              </w:r>
            </w:hyperlink>
            <w:r>
              <w:t xml:space="preserve">, and in patients taking birth control</w:t>
            </w:r>
            <w:r>
              <w:t xml:space="preserve"> </w:t>
            </w:r>
            <w:hyperlink r:id="rId66">
              <w:r>
                <w:rPr>
                  <w:rStyle w:val="Hyperlink"/>
                </w:rPr>
                <w:t xml:space="preserve">pills</w:t>
              </w:r>
            </w:hyperlink>
            <w:r>
              <w:t xml:space="preserve">.</w:t>
            </w:r>
          </w:p>
        </w:tc>
      </w:tr>
      <w:tr>
        <w:tc>
          <w:tcPr/>
          <w:p>
            <w:pPr>
              <w:pStyle w:val="Compact"/>
            </w:pPr>
            <w:r>
              <w:t xml:space="preserve">Acute MI</w:t>
            </w:r>
          </w:p>
        </w:tc>
        <w:tc>
          <w:tcPr/>
          <w:p>
            <w:pPr>
              <w:pStyle w:val="Compact"/>
            </w:pPr>
            <w:r>
              <w:t xml:space="preserve">This risk factor is associated with a transient increased VTE risk for the first six months independent of traditional atherosclerotic</w:t>
            </w:r>
            <w:r>
              <w:t xml:space="preserve"> </w:t>
            </w:r>
            <w:hyperlink r:id="rId67">
              <w:r>
                <w:rPr>
                  <w:rStyle w:val="Hyperlink"/>
                </w:rPr>
                <w:t xml:space="preserve">risk factors</w:t>
              </w:r>
            </w:hyperlink>
            <w:r>
              <w:t xml:space="preserve">. The strength of this risk factor decreases after three</w:t>
            </w:r>
            <w:r>
              <w:t xml:space="preserve"> </w:t>
            </w:r>
            <w:hyperlink r:id="rId68">
              <w:r>
                <w:rPr>
                  <w:rStyle w:val="Hyperlink"/>
                </w:rPr>
                <w:t xml:space="preserve">months</w:t>
              </w:r>
            </w:hyperlink>
            <w:r>
              <w:t xml:space="preserve">. </w:t>
            </w:r>
          </w:p>
        </w:tc>
      </w:tr>
      <w:tr>
        <w:tc>
          <w:tcPr/>
          <w:p>
            <w:pPr>
              <w:pStyle w:val="Compact"/>
            </w:pPr>
            <w:r>
              <w:t xml:space="preserve">COPD</w:t>
            </w:r>
          </w:p>
        </w:tc>
        <w:tc>
          <w:tcPr/>
          <w:p>
            <w:pPr>
              <w:pStyle w:val="Compact"/>
            </w:pPr>
            <w:r>
              <w:t xml:space="preserve">COPD Is a leading cause of morbidity and mortality worldwide characterized by systemic inflammation and venous thromboembolism in up to 30% of these</w:t>
            </w:r>
            <w:r>
              <w:t xml:space="preserve"> </w:t>
            </w:r>
            <w:hyperlink r:id="rId69">
              <w:r>
                <w:rPr>
                  <w:rStyle w:val="Hyperlink"/>
                </w:rPr>
                <w:t xml:space="preserve">patients</w:t>
              </w:r>
            </w:hyperlink>
            <w:r>
              <w:t xml:space="preserve">. The presence of idiopathic pulmonary fibrosis in Association with COPD poses a higher risk for VTE.</w:t>
            </w:r>
          </w:p>
        </w:tc>
      </w:tr>
      <w:tr>
        <w:tc>
          <w:tcPr/>
          <w:p>
            <w:pPr>
              <w:pStyle w:val="Compact"/>
            </w:pPr>
            <w:r>
              <w:t xml:space="preserve">Present or previous malignancy</w:t>
            </w:r>
          </w:p>
        </w:tc>
        <w:tc>
          <w:tcPr/>
          <w:p>
            <w:pPr>
              <w:pStyle w:val="Compact"/>
            </w:pPr>
            <w:r>
              <w:t xml:space="preserve">This factor excludes basal cell skin cancer except for melanoma. Cancer is a major factor for developing</w:t>
            </w:r>
            <w:r>
              <w:t xml:space="preserve"> </w:t>
            </w:r>
            <w:hyperlink r:id="rId70">
              <w:r>
                <w:rPr>
                  <w:rStyle w:val="Hyperlink"/>
                </w:rPr>
                <w:t xml:space="preserve">VTE</w:t>
              </w:r>
            </w:hyperlink>
            <w:r>
              <w:t xml:space="preserve">. VTE in the cancer patient is one of the leading causes of death and is associated with a decrease in quality of</w:t>
            </w:r>
            <w:r>
              <w:t xml:space="preserve"> </w:t>
            </w:r>
            <w:hyperlink r:id="rId71">
              <w:r>
                <w:rPr>
                  <w:rStyle w:val="Hyperlink"/>
                </w:rPr>
                <w:t xml:space="preserve">life</w:t>
              </w:r>
            </w:hyperlink>
            <w:r>
              <w:t xml:space="preserve">.</w:t>
            </w:r>
          </w:p>
        </w:tc>
      </w:tr>
      <w:tr>
        <w:tc>
          <w:tcPr/>
          <w:p>
            <w:pPr>
              <w:pStyle w:val="Compact"/>
            </w:pPr>
            <w:r>
              <w:t xml:space="preserve">Other congenital or acquired thrombophilia</w:t>
            </w:r>
          </w:p>
        </w:tc>
        <w:tc>
          <w:tcPr/>
          <w:p>
            <w:pPr>
              <w:pStyle w:val="Compact"/>
            </w:pPr>
            <w:r>
              <w:t xml:space="preserve">Thrombophilia is a congenital or acquired condition characterized by an imbalance in hemostasis producing a hypercoagulable state. A family member with a history of a VTE would score 3. If that family member had a positive thrombophilia marker, the patient score would be 6 points. Multiple thrombophilia markers together increase the VTE potential and are scored as 3 for each</w:t>
            </w:r>
            <w:r>
              <w:t xml:space="preserve"> </w:t>
            </w:r>
            <w:hyperlink r:id="rId62">
              <w:r>
                <w:rPr>
                  <w:rStyle w:val="Hyperlink"/>
                </w:rPr>
                <w:t xml:space="preserve">factor</w:t>
              </w:r>
            </w:hyperlink>
            <w:r>
              <w:t xml:space="preserve">.</w:t>
            </w:r>
          </w:p>
        </w:tc>
      </w:tr>
      <w:tr>
        <w:tc>
          <w:tcPr/>
          <w:p>
            <w:pPr>
              <w:pStyle w:val="Compact"/>
            </w:pPr>
            <w:r>
              <w:t xml:space="preserve">Positive Factor V Leiden</w:t>
            </w:r>
          </w:p>
        </w:tc>
        <w:tc>
          <w:tcPr/>
          <w:p>
            <w:pPr>
              <w:pStyle w:val="Compact"/>
            </w:pPr>
            <w:r>
              <w:t xml:space="preserve">The most common inherited gene mutation that is rarely seen in Asian or African populations. It is associated with an increased VTE risk especially in the rare homozygous form. It involves resistance of Factor V that is associated with an increased chance of arterial or venous thrombosis. A synergistic effect for VTE risk exists when combined with other</w:t>
            </w:r>
            <w:r>
              <w:t xml:space="preserve"> </w:t>
            </w:r>
            <w:hyperlink r:id="rId72">
              <w:r>
                <w:rPr>
                  <w:rStyle w:val="Hyperlink"/>
                </w:rPr>
                <w:t xml:space="preserve">risk factors</w:t>
              </w:r>
            </w:hyperlink>
            <w:r>
              <w:t xml:space="preserve">.</w:t>
            </w:r>
          </w:p>
        </w:tc>
      </w:tr>
      <w:tr>
        <w:tc>
          <w:tcPr/>
          <w:p>
            <w:pPr>
              <w:pStyle w:val="Compact"/>
            </w:pPr>
            <w:r>
              <w:t xml:space="preserve">Positive prothrombin 20210A</w:t>
            </w:r>
          </w:p>
        </w:tc>
        <w:tc>
          <w:tcPr/>
          <w:p>
            <w:pPr>
              <w:pStyle w:val="Compact"/>
            </w:pPr>
            <w:r>
              <w:t xml:space="preserve">The second most common inherited gene mutation found in Caucasians involving elevated levels of plasma coagulation factor II that represent a risk factor for venous thrombosis especially the rare homozygous</w:t>
            </w:r>
            <w:r>
              <w:t xml:space="preserve"> </w:t>
            </w:r>
            <w:hyperlink r:id="rId73">
              <w:r>
                <w:rPr>
                  <w:rStyle w:val="Hyperlink"/>
                </w:rPr>
                <w:t xml:space="preserve">form</w:t>
              </w:r>
            </w:hyperlink>
            <w:r>
              <w:t xml:space="preserve">. Heterozygous factor V Leiden combined with heterozygous prothrombin gene mutation are associated with an increased level of thrombotic risk similar to a single homozygous</w:t>
            </w:r>
            <w:r>
              <w:t xml:space="preserve"> </w:t>
            </w:r>
            <w:hyperlink r:id="rId74">
              <w:r>
                <w:rPr>
                  <w:rStyle w:val="Hyperlink"/>
                </w:rPr>
                <w:t xml:space="preserve">defect</w:t>
              </w:r>
            </w:hyperlink>
            <w:r>
              <w:t xml:space="preserve">.</w:t>
            </w:r>
          </w:p>
        </w:tc>
      </w:tr>
      <w:tr>
        <w:tc>
          <w:tcPr/>
          <w:p>
            <w:pPr>
              <w:pStyle w:val="Compact"/>
            </w:pPr>
            <w:r>
              <w:t xml:space="preserve">Heparin-induced thrombocytopenia</w:t>
            </w:r>
          </w:p>
        </w:tc>
        <w:tc>
          <w:tcPr/>
          <w:p>
            <w:pPr>
              <w:pStyle w:val="Compact"/>
            </w:pPr>
            <w:r>
              <w:t xml:space="preserve">A powerful and sometimes life-threatening immune reaction to heparin that results in thrombocytopenia and in some cases thrombosis (HITT). This reaction is much less with the use of LMWH compared to unfractionated</w:t>
            </w:r>
            <w:r>
              <w:t xml:space="preserve"> </w:t>
            </w:r>
            <w:hyperlink r:id="rId75">
              <w:r>
                <w:rPr>
                  <w:rStyle w:val="Hyperlink"/>
                </w:rPr>
                <w:t xml:space="preserve">heparin</w:t>
              </w:r>
            </w:hyperlink>
            <w:r>
              <w:t xml:space="preserve">.</w:t>
            </w:r>
          </w:p>
        </w:tc>
      </w:tr>
      <w:tr>
        <w:tc>
          <w:tcPr/>
          <w:p>
            <w:pPr>
              <w:pStyle w:val="Compact"/>
            </w:pPr>
            <w:r>
              <w:t xml:space="preserve">Methylenetetrahydrofolate reductase (MTHFR)</w:t>
            </w:r>
          </w:p>
        </w:tc>
        <w:tc>
          <w:tcPr/>
          <w:p>
            <w:pPr>
              <w:pStyle w:val="Compact"/>
            </w:pPr>
            <w:r>
              <w:t xml:space="preserve">This enzyme plays a central role in folate metabolism and measurements of the genetic variants especially C677T have been linked to thrombotic</w:t>
            </w:r>
            <w:r>
              <w:t xml:space="preserve"> </w:t>
            </w:r>
            <w:hyperlink r:id="rId76">
              <w:r>
                <w:rPr>
                  <w:rStyle w:val="Hyperlink"/>
                </w:rPr>
                <w:t xml:space="preserve">events</w:t>
              </w:r>
            </w:hyperlink>
            <w:r>
              <w:t xml:space="preserve">. Recent studies have shown an effect only when combined with another</w:t>
            </w:r>
            <w:r>
              <w:t xml:space="preserve"> </w:t>
            </w:r>
            <w:hyperlink r:id="rId74">
              <w:r>
                <w:rPr>
                  <w:rStyle w:val="Hyperlink"/>
                </w:rPr>
                <w:t xml:space="preserve">defect</w:t>
              </w:r>
            </w:hyperlink>
            <w:r>
              <w:t xml:space="preserve">. A deficiency of MTHFR could result in hyperhomocyteinemia. Elevated serum homocysteine levels have not been proven to be associated with</w:t>
            </w:r>
            <w:r>
              <w:t xml:space="preserve"> </w:t>
            </w:r>
            <w:hyperlink r:id="rId77">
              <w:r>
                <w:rPr>
                  <w:rStyle w:val="Hyperlink"/>
                </w:rPr>
                <w:t xml:space="preserve">venous thrombosis</w:t>
              </w:r>
            </w:hyperlink>
            <w:r>
              <w:t xml:space="preserve">. A large proportion of patients carry these genetic defects. This is a controversial area regarding the link to VTE.</w:t>
            </w:r>
          </w:p>
        </w:tc>
      </w:tr>
      <w:tr>
        <w:tc>
          <w:tcPr/>
          <w:p>
            <w:pPr>
              <w:pStyle w:val="Compact"/>
            </w:pPr>
            <w:r>
              <w:t xml:space="preserve">Antiphospholipid syndrome (APS)</w:t>
            </w:r>
          </w:p>
        </w:tc>
        <w:tc>
          <w:tcPr/>
          <w:p>
            <w:pPr>
              <w:pStyle w:val="Compact"/>
            </w:pPr>
            <w:r>
              <w:t xml:space="preserve">This syndrome is associated with both venous and arterial thrombotic events especially</w:t>
            </w:r>
            <w:r>
              <w:t xml:space="preserve"> </w:t>
            </w:r>
            <w:hyperlink r:id="rId78">
              <w:r>
                <w:rPr>
                  <w:rStyle w:val="Hyperlink"/>
                </w:rPr>
                <w:t xml:space="preserve">obstetrical</w:t>
              </w:r>
            </w:hyperlink>
            <w:r>
              <w:t xml:space="preserve"> </w:t>
            </w:r>
            <w:r>
              <w:t xml:space="preserve">complications. The laboratory defects include Lupus anticoagulant (LA), anticardiolipin antibody (ACA), and B2 glycoprotein antibodies. Patients may remain positive long after the clinical event.</w:t>
            </w:r>
          </w:p>
        </w:tc>
      </w:tr>
      <w:tr>
        <w:tc>
          <w:tcPr>
            <w:gridSpan w:val="2"/>
          </w:tcPr>
          <w:p>
            <w:pPr>
              <w:pStyle w:val="Compact"/>
            </w:pPr>
            <w:r>
              <w:rPr>
                <w:b/>
                <w:bCs/>
              </w:rPr>
              <w:t xml:space="preserve">Other risk factors (Not validated in the original model)</w:t>
            </w:r>
          </w:p>
        </w:tc>
      </w:tr>
      <w:tr>
        <w:tc>
          <w:tcPr/>
          <w:p>
            <w:pPr>
              <w:pStyle w:val="Compact"/>
            </w:pPr>
            <w:r>
              <w:t xml:space="preserve">BMI &gt;40</w:t>
            </w:r>
          </w:p>
        </w:tc>
        <w:tc>
          <w:tcPr/>
          <w:p>
            <w:pPr>
              <w:pStyle w:val="Compact"/>
            </w:pPr>
            <w:r>
              <w:t xml:space="preserve">Individuals who are physically fit or athletes but very large are not exempt from this risk factor. The stress on the cardiovascular system due to their size and bulk can result in cardiac hypertrophy, hypertension, valvular disease related to heart strain, sleep apnea, and diabetes requiring insulin. A linear increase in VTE events is seen with increased weight and those with a BMI &gt;35 experience a</w:t>
            </w:r>
            <w:r>
              <w:t xml:space="preserve"> </w:t>
            </w:r>
            <w:hyperlink r:id="rId79">
              <w:r>
                <w:rPr>
                  <w:rStyle w:val="Hyperlink"/>
                </w:rPr>
                <w:t xml:space="preserve">sixfold</w:t>
              </w:r>
            </w:hyperlink>
            <w:r>
              <w:t xml:space="preserve"> </w:t>
            </w:r>
            <w:r>
              <w:t xml:space="preserve">increase in these events. The VTE risk increases further with a</w:t>
            </w:r>
            <w:r>
              <w:t xml:space="preserve"> </w:t>
            </w:r>
            <w:hyperlink r:id="rId80">
              <w:r>
                <w:rPr>
                  <w:rStyle w:val="Hyperlink"/>
                </w:rPr>
                <w:t xml:space="preserve">BMI&gt; 40</w:t>
              </w:r>
            </w:hyperlink>
            <w:r>
              <w:t xml:space="preserve">.</w:t>
            </w:r>
          </w:p>
        </w:tc>
      </w:tr>
      <w:tr>
        <w:tc>
          <w:tcPr/>
          <w:p>
            <w:pPr>
              <w:pStyle w:val="Compact"/>
            </w:pPr>
            <w:r>
              <w:t xml:space="preserve">Blood transfusion</w:t>
            </w:r>
          </w:p>
        </w:tc>
        <w:tc>
          <w:tcPr/>
          <w:p>
            <w:pPr>
              <w:pStyle w:val="Compact"/>
            </w:pPr>
            <w:r>
              <w:t xml:space="preserve">The infusion of 1-2 unit of blood &gt;28 days old increases the DVT rate and mortality in trauma</w:t>
            </w:r>
            <w:r>
              <w:t xml:space="preserve"> </w:t>
            </w:r>
            <w:hyperlink r:id="rId81">
              <w:r>
                <w:rPr>
                  <w:rStyle w:val="Hyperlink"/>
                </w:rPr>
                <w:t xml:space="preserve">patients</w:t>
              </w:r>
            </w:hyperlink>
            <w:r>
              <w:t xml:space="preserve">. The incidence of DVT is increased in</w:t>
            </w:r>
            <w:r>
              <w:t xml:space="preserve"> </w:t>
            </w:r>
            <w:hyperlink r:id="rId82">
              <w:r>
                <w:rPr>
                  <w:rStyle w:val="Hyperlink"/>
                </w:rPr>
                <w:t xml:space="preserve">ventral hernia</w:t>
              </w:r>
            </w:hyperlink>
            <w:r>
              <w:t xml:space="preserve">, and</w:t>
            </w:r>
            <w:r>
              <w:t xml:space="preserve"> </w:t>
            </w:r>
            <w:hyperlink r:id="rId83">
              <w:r>
                <w:rPr>
                  <w:rStyle w:val="Hyperlink"/>
                </w:rPr>
                <w:t xml:space="preserve">bariatric</w:t>
              </w:r>
            </w:hyperlink>
            <w:r>
              <w:t xml:space="preserve"> </w:t>
            </w:r>
            <w:r>
              <w:t xml:space="preserve">surgery patients and receiving blood transfusions and many of these events up to 50% occur following discharge. VTE rates in</w:t>
            </w:r>
            <w:r>
              <w:t xml:space="preserve"> </w:t>
            </w:r>
            <w:hyperlink r:id="rId84">
              <w:r>
                <w:rPr>
                  <w:rStyle w:val="Hyperlink"/>
                </w:rPr>
                <w:t xml:space="preserve">cancer</w:t>
              </w:r>
            </w:hyperlink>
            <w:r>
              <w:t xml:space="preserve"> </w:t>
            </w:r>
            <w:r>
              <w:t xml:space="preserve">patients are higher when they receive RBC transfusions.</w:t>
            </w:r>
          </w:p>
        </w:tc>
      </w:tr>
      <w:tr>
        <w:tc>
          <w:tcPr/>
          <w:p>
            <w:pPr>
              <w:pStyle w:val="Compact"/>
            </w:pPr>
            <w:r>
              <w:t xml:space="preserve">Smoking</w:t>
            </w:r>
          </w:p>
        </w:tc>
        <w:tc>
          <w:tcPr/>
          <w:p>
            <w:pPr>
              <w:pStyle w:val="Compact"/>
            </w:pPr>
            <w:r>
              <w:t xml:space="preserve">Smoking is defined as the inhalation of anything that burns, including</w:t>
            </w:r>
            <w:r>
              <w:t xml:space="preserve"> </w:t>
            </w:r>
            <w:hyperlink r:id="rId85">
              <w:r>
                <w:rPr>
                  <w:rStyle w:val="Hyperlink"/>
                </w:rPr>
                <w:t xml:space="preserve">marijuana</w:t>
              </w:r>
            </w:hyperlink>
            <w:r>
              <w:t xml:space="preserve">, or vaping. Smokers were more likely to develop postoperative</w:t>
            </w:r>
            <w:r>
              <w:t xml:space="preserve"> </w:t>
            </w:r>
            <w:hyperlink r:id="rId86">
              <w:r>
                <w:rPr>
                  <w:rStyle w:val="Hyperlink"/>
                </w:rPr>
                <w:t xml:space="preserve">VTE</w:t>
              </w:r>
            </w:hyperlink>
            <w:r>
              <w:t xml:space="preserve"> </w:t>
            </w:r>
            <w:r>
              <w:t xml:space="preserve">than never smokers.</w:t>
            </w:r>
          </w:p>
        </w:tc>
      </w:tr>
      <w:tr>
        <w:tc>
          <w:tcPr/>
          <w:p>
            <w:pPr>
              <w:pStyle w:val="Compact"/>
            </w:pPr>
            <w:r>
              <w:t xml:space="preserve">Diabetes mellitus requiring insulin</w:t>
            </w:r>
          </w:p>
        </w:tc>
        <w:tc>
          <w:tcPr/>
          <w:p>
            <w:pPr>
              <w:pStyle w:val="Compact"/>
            </w:pPr>
            <w:r>
              <w:t xml:space="preserve">The overall incidence of DVT and PE was higher in the type 2</w:t>
            </w:r>
            <w:r>
              <w:t xml:space="preserve"> </w:t>
            </w:r>
            <w:hyperlink r:id="rId87">
              <w:r>
                <w:rPr>
                  <w:rStyle w:val="Hyperlink"/>
                </w:rPr>
                <w:t xml:space="preserve">diabetes mellitus</w:t>
              </w:r>
            </w:hyperlink>
            <w:r>
              <w:t xml:space="preserve"> </w:t>
            </w:r>
            <w:r>
              <w:t xml:space="preserve">patients than in the controls. Type 1 and 2 patients are at increased risk for recurrent</w:t>
            </w:r>
            <w:r>
              <w:t xml:space="preserve"> </w:t>
            </w:r>
            <w:hyperlink r:id="rId88">
              <w:r>
                <w:rPr>
                  <w:rStyle w:val="Hyperlink"/>
                </w:rPr>
                <w:t xml:space="preserve">VTE</w:t>
              </w:r>
            </w:hyperlink>
            <w:r>
              <w:t xml:space="preserve">.</w:t>
            </w:r>
          </w:p>
        </w:tc>
      </w:tr>
      <w:tr>
        <w:tc>
          <w:tcPr/>
          <w:p>
            <w:pPr>
              <w:pStyle w:val="Compact"/>
            </w:pPr>
            <w:r>
              <w:t xml:space="preserve">Human immunodeficiency virus</w:t>
            </w:r>
          </w:p>
        </w:tc>
        <w:tc>
          <w:tcPr/>
          <w:p>
            <w:pPr>
              <w:pStyle w:val="Compact"/>
            </w:pPr>
            <w:r>
              <w:t xml:space="preserve">This disease is characterized by activation of multiple inflammatory, immunologic, and coagulation pathways and as a result these patients are at increased risk of</w:t>
            </w:r>
            <w:r>
              <w:t xml:space="preserve"> </w:t>
            </w:r>
            <w:hyperlink r:id="rId89">
              <w:r>
                <w:rPr>
                  <w:rStyle w:val="Hyperlink"/>
                </w:rPr>
                <w:t xml:space="preserve">VTE</w:t>
              </w:r>
            </w:hyperlink>
            <w:r>
              <w:t xml:space="preserve">.</w:t>
            </w:r>
          </w:p>
        </w:tc>
      </w:tr>
      <w:tr>
        <w:tc>
          <w:tcPr/>
          <w:p>
            <w:pPr>
              <w:pStyle w:val="Compact"/>
            </w:pPr>
            <w:r>
              <w:t xml:space="preserve">Chemotherapy</w:t>
            </w:r>
          </w:p>
        </w:tc>
        <w:tc>
          <w:tcPr/>
          <w:p>
            <w:pPr>
              <w:pStyle w:val="Compact"/>
            </w:pPr>
            <w:r>
              <w:t xml:space="preserve">VTE incidence is increased in patients treated with</w:t>
            </w:r>
            <w:r>
              <w:t xml:space="preserve"> </w:t>
            </w:r>
            <w:hyperlink r:id="rId90">
              <w:r>
                <w:rPr>
                  <w:rStyle w:val="Hyperlink"/>
                </w:rPr>
                <w:t xml:space="preserve">chemotherapy</w:t>
              </w:r>
            </w:hyperlink>
            <w:r>
              <w:t xml:space="preserve">. Incidental VTE is a relative common finding in patients with solid tumors, especially in the first months of</w:t>
            </w:r>
            <w:r>
              <w:t xml:space="preserve"> </w:t>
            </w:r>
            <w:hyperlink r:id="rId91">
              <w:r>
                <w:rPr>
                  <w:rStyle w:val="Hyperlink"/>
                </w:rPr>
                <w:t xml:space="preserve">chemotherapy</w:t>
              </w:r>
            </w:hyperlink>
            <w:r>
              <w:t xml:space="preserve">. Patients with</w:t>
            </w:r>
            <w:r>
              <w:t xml:space="preserve"> </w:t>
            </w:r>
            <w:hyperlink r:id="rId92">
              <w:r>
                <w:rPr>
                  <w:rStyle w:val="Hyperlink"/>
                </w:rPr>
                <w:t xml:space="preserve">multiple myeloma</w:t>
              </w:r>
            </w:hyperlink>
            <w:r>
              <w:t xml:space="preserve"> </w:t>
            </w:r>
            <w:r>
              <w:t xml:space="preserve">are at an increased risk of venous thromboembolism (VTE), especially when treated with thalidomide and lenalidomide, in combination with dexamethasone and/or chemotherapy.</w:t>
            </w:r>
            <w:r>
              <w:t xml:space="preserve"> </w:t>
            </w:r>
            <w:hyperlink r:id="rId93">
              <w:r>
                <w:rPr>
                  <w:rStyle w:val="Hyperlink"/>
                </w:rPr>
                <w:t xml:space="preserve">Neoadjuvant therapy</w:t>
              </w:r>
            </w:hyperlink>
            <w:r>
              <w:t xml:space="preserve"> </w:t>
            </w:r>
            <w:r>
              <w:t xml:space="preserve">for cancer is associated with an increased risk of VTE. Current ASCO guidelines address the use of chemotherapy in a wide variety of clinical</w:t>
            </w:r>
            <w:r>
              <w:t xml:space="preserve"> </w:t>
            </w:r>
            <w:hyperlink r:id="rId94">
              <w:r>
                <w:rPr>
                  <w:rStyle w:val="Hyperlink"/>
                </w:rPr>
                <w:t xml:space="preserve">scenarios</w:t>
              </w:r>
            </w:hyperlink>
            <w:r>
              <w:t xml:space="preserve"> </w:t>
            </w:r>
            <w:r>
              <w:t xml:space="preserve">in patients with cancer.</w:t>
            </w:r>
          </w:p>
        </w:tc>
      </w:tr>
      <w:tr>
        <w:tc>
          <w:tcPr/>
          <w:p>
            <w:pPr>
              <w:pStyle w:val="Compact"/>
            </w:pPr>
            <w:r>
              <w:t xml:space="preserve">Superficial venous thrombosis (SVT)</w:t>
            </w:r>
          </w:p>
        </w:tc>
        <w:tc>
          <w:tcPr/>
          <w:p>
            <w:pPr>
              <w:pStyle w:val="Compact"/>
            </w:pPr>
            <w:r>
              <w:t xml:space="preserve">SVT is a risk factor for VTE particularly in conjunction with other risk factors. Roach, R. et al. report that “superficial vein thrombosis combined with an acquired thrombotic risk factor increases the risk of venous thrombosis</w:t>
            </w:r>
            <w:r>
              <w:t xml:space="preserve"> </w:t>
            </w:r>
            <w:hyperlink r:id="rId95">
              <w:r>
                <w:rPr>
                  <w:rStyle w:val="Hyperlink"/>
                </w:rPr>
                <w:t xml:space="preserve">10 to 100-fold</w:t>
              </w:r>
            </w:hyperlink>
            <w:r>
              <w:t xml:space="preserve">.” Frequently isolated SVT progresses to</w:t>
            </w:r>
            <w:r>
              <w:t xml:space="preserve"> </w:t>
            </w:r>
            <w:hyperlink r:id="rId96">
              <w:r>
                <w:rPr>
                  <w:rStyle w:val="Hyperlink"/>
                </w:rPr>
                <w:t xml:space="preserve">DVT</w:t>
              </w:r>
            </w:hyperlink>
            <w:r>
              <w:t xml:space="preserve"> </w:t>
            </w:r>
            <w:r>
              <w:t xml:space="preserve">and PE. Cancer patients with SVT have a poor prognosis similar to cancer patients with DVT, and a high rate of recurrence is also</w:t>
            </w:r>
            <w:r>
              <w:t xml:space="preserve"> </w:t>
            </w:r>
            <w:hyperlink r:id="rId97">
              <w:r>
                <w:rPr>
                  <w:rStyle w:val="Hyperlink"/>
                </w:rPr>
                <w:t xml:space="preserve">observed</w:t>
              </w:r>
            </w:hyperlink>
            <w:r>
              <w:t xml:space="preserve">.</w:t>
            </w:r>
          </w:p>
        </w:tc>
      </w:tr>
    </w:tbl>
    <w:p>
      <w:pPr>
        <w:pStyle w:val="BodyText"/>
      </w:pPr>
      <w:bookmarkStart w:id="99" w:name="X732227c260a9defc89b87c6cc5bbbea2cb7bef2"/>
      <w:bookmarkStart w:id="98" w:name="X732227c260a9defc89b87c6cc5bbbea2cb7bef2"/>
      <w:r>
        <w:t xml:space="preserve"> </w:t>
      </w:r>
      <w:bookmarkEnd w:id="98"/>
      <w:bookmarkEnd w:id="99"/>
    </w:p>
    <w:bookmarkEnd w:id="100"/>
    <w:bookmarkStart w:id="103" w:name="facts-figures"/>
    <w:p>
      <w:pPr>
        <w:pStyle w:val="Heading2"/>
      </w:pPr>
      <w:r>
        <w:t xml:space="preserve">FACTS &amp; FIGURES</w:t>
      </w:r>
    </w:p>
    <w:tbl>
      <w:tblPr>
        <w:tblStyle w:val="Table"/>
        <w:tblW w:type="pct" w:w="5000"/>
        <w:tblLayout w:type="fixed"/>
        <w:tblLook w:firstRow="0" w:lastRow="0" w:firstColumn="0" w:lastColumn="0" w:noHBand="0" w:noVBand="0" w:val="0000"/>
      </w:tblPr>
      <w:tblGrid>
        <w:gridCol w:w="1584"/>
        <w:gridCol w:w="1584"/>
        <w:gridCol w:w="1584"/>
        <w:gridCol w:w="1584"/>
        <w:gridCol w:w="1584"/>
      </w:tblGrid>
      <w:tr>
        <w:tc>
          <w:tcPr/>
          <w:p>
            <w:pPr>
              <w:pStyle w:val="FirstParagraph"/>
            </w:pPr>
            <w:r>
              <w:rPr>
                <w:b/>
                <w:bCs/>
              </w:rPr>
              <w:t xml:space="preserve">Caprini Score</w:t>
            </w:r>
          </w:p>
        </w:tc>
        <w:tc>
          <w:tcPr/>
          <w:p>
            <w:pPr>
              <w:pStyle w:val="BodyText"/>
            </w:pPr>
            <w:r>
              <w:rPr>
                <w:b/>
                <w:bCs/>
              </w:rPr>
              <w:t xml:space="preserve">Risk category</w:t>
            </w:r>
          </w:p>
        </w:tc>
        <w:tc>
          <w:tcPr/>
          <w:p>
            <w:pPr>
              <w:pStyle w:val="BodyText"/>
            </w:pPr>
            <w:r>
              <w:rPr>
                <w:b/>
                <w:bCs/>
              </w:rPr>
              <w:t xml:space="preserve">Risk percent*</w:t>
            </w:r>
          </w:p>
        </w:tc>
        <w:tc>
          <w:tcPr/>
          <w:p>
            <w:pPr>
              <w:pStyle w:val="BodyText"/>
            </w:pPr>
            <w:r>
              <w:rPr>
                <w:b/>
                <w:bCs/>
              </w:rPr>
              <w:t xml:space="preserve">Recommended prophylaxis**</w:t>
            </w:r>
          </w:p>
        </w:tc>
        <w:tc>
          <w:tcPr/>
          <w:p>
            <w:pPr>
              <w:pStyle w:val="BodyText"/>
            </w:pPr>
            <w:r>
              <w:rPr>
                <w:b/>
                <w:bCs/>
              </w:rPr>
              <w:t xml:space="preserve">Duration of chemoprophylaxis</w:t>
            </w:r>
          </w:p>
        </w:tc>
      </w:tr>
      <w:tr>
        <w:tc>
          <w:tcPr/>
          <w:p>
            <w:pPr>
              <w:pStyle w:val="BodyText"/>
            </w:pPr>
            <w:r>
              <w:t xml:space="preserve">0</w:t>
            </w:r>
          </w:p>
        </w:tc>
        <w:tc>
          <w:tcPr/>
          <w:p>
            <w:pPr>
              <w:pStyle w:val="BodyText"/>
            </w:pPr>
            <w:r>
              <w:t xml:space="preserve">Lowest</w:t>
            </w:r>
          </w:p>
        </w:tc>
        <w:tc>
          <w:tcPr/>
          <w:p>
            <w:pPr>
              <w:pStyle w:val="BodyText"/>
            </w:pPr>
            <w:r>
              <w:t xml:space="preserve">Minimal</w:t>
            </w:r>
          </w:p>
        </w:tc>
        <w:tc>
          <w:tcPr/>
          <w:p>
            <w:pPr>
              <w:pStyle w:val="BodyText"/>
            </w:pPr>
            <w:r>
              <w:t xml:space="preserve">Early frequent ambulation only, OR at discretion of surgical team:</w:t>
            </w:r>
          </w:p>
          <w:p>
            <w:pPr>
              <w:pStyle w:val="BodyText"/>
            </w:pPr>
            <w:r>
              <w:t xml:space="preserve">Pneumatic compression devices OR graduated compression stockings</w:t>
            </w:r>
          </w:p>
        </w:tc>
        <w:tc>
          <w:tcPr/>
          <w:p>
            <w:pPr>
              <w:pStyle w:val="BodyText"/>
            </w:pPr>
            <w:r>
              <w:t xml:space="preserve">During hospitalization</w:t>
            </w:r>
          </w:p>
        </w:tc>
      </w:tr>
      <w:tr>
        <w:tc>
          <w:tcPr/>
          <w:p>
            <w:pPr>
              <w:pStyle w:val="BodyText"/>
            </w:pPr>
            <w:r>
              <w:t xml:space="preserve">1–2</w:t>
            </w:r>
          </w:p>
        </w:tc>
        <w:tc>
          <w:tcPr/>
          <w:p>
            <w:pPr>
              <w:pStyle w:val="BodyText"/>
            </w:pPr>
            <w:r>
              <w:t xml:space="preserve">Low</w:t>
            </w:r>
          </w:p>
        </w:tc>
        <w:tc>
          <w:tcPr/>
          <w:p>
            <w:pPr>
              <w:pStyle w:val="BodyText"/>
            </w:pPr>
            <w:r>
              <w:t xml:space="preserve">Minimal</w:t>
            </w:r>
          </w:p>
        </w:tc>
        <w:tc>
          <w:tcPr/>
          <w:p>
            <w:pPr>
              <w:pStyle w:val="BodyText"/>
            </w:pPr>
            <w:r>
              <w:t xml:space="preserve">Pneumatic compression devices ± graduated compression stockings</w:t>
            </w:r>
          </w:p>
        </w:tc>
        <w:tc>
          <w:tcPr/>
          <w:p>
            <w:pPr>
              <w:pStyle w:val="BodyText"/>
            </w:pPr>
            <w:r>
              <w:t xml:space="preserve">During hospitalization</w:t>
            </w:r>
          </w:p>
        </w:tc>
      </w:tr>
      <w:tr>
        <w:tc>
          <w:tcPr/>
          <w:p>
            <w:pPr>
              <w:pStyle w:val="BodyText"/>
            </w:pPr>
            <w:r>
              <w:t xml:space="preserve">3–4</w:t>
            </w:r>
          </w:p>
        </w:tc>
        <w:tc>
          <w:tcPr/>
          <w:p>
            <w:pPr>
              <w:pStyle w:val="BodyText"/>
            </w:pPr>
            <w:r>
              <w:t xml:space="preserve">Moderate</w:t>
            </w:r>
          </w:p>
        </w:tc>
        <w:tc>
          <w:tcPr/>
          <w:p>
            <w:pPr>
              <w:pStyle w:val="BodyText"/>
            </w:pPr>
            <w:r>
              <w:t xml:space="preserve">0.7%</w:t>
            </w:r>
          </w:p>
        </w:tc>
        <w:tc>
          <w:tcPr/>
          <w:p>
            <w:pPr>
              <w:pStyle w:val="BodyText"/>
            </w:pPr>
            <w:r>
              <w:t xml:space="preserve">Pneumatic compression devices ± graduated compression stockings</w:t>
            </w:r>
          </w:p>
        </w:tc>
        <w:tc>
          <w:tcPr/>
          <w:p>
            <w:pPr>
              <w:pStyle w:val="BodyText"/>
            </w:pPr>
            <w:r>
              <w:t xml:space="preserve">During hospitalization</w:t>
            </w:r>
          </w:p>
        </w:tc>
      </w:tr>
      <w:tr>
        <w:tc>
          <w:tcPr/>
          <w:p>
            <w:pPr>
              <w:pStyle w:val="BodyText"/>
            </w:pPr>
            <w:r>
              <w:t xml:space="preserve">5–6</w:t>
            </w:r>
          </w:p>
        </w:tc>
        <w:tc>
          <w:tcPr/>
          <w:p>
            <w:pPr>
              <w:pStyle w:val="BodyText"/>
            </w:pPr>
            <w:r>
              <w:t xml:space="preserve">High</w:t>
            </w:r>
          </w:p>
        </w:tc>
        <w:tc>
          <w:tcPr/>
          <w:p>
            <w:pPr>
              <w:pStyle w:val="BodyText"/>
            </w:pPr>
            <w:r>
              <w:t xml:space="preserve">1.8%</w:t>
            </w:r>
          </w:p>
        </w:tc>
        <w:tc>
          <w:tcPr/>
          <w:p>
            <w:pPr>
              <w:pStyle w:val="BodyText"/>
            </w:pPr>
            <w:r>
              <w:t xml:space="preserve">Pneumatic compression devices AND low dose heparin OR low molecular weight heparin</w:t>
            </w:r>
          </w:p>
        </w:tc>
        <w:tc>
          <w:tcPr/>
          <w:p>
            <w:pPr>
              <w:pStyle w:val="BodyText"/>
            </w:pPr>
            <w:r>
              <w:t xml:space="preserve">7–10 days total</w:t>
            </w:r>
          </w:p>
        </w:tc>
      </w:tr>
      <w:tr>
        <w:tc>
          <w:tcPr/>
          <w:p>
            <w:pPr>
              <w:pStyle w:val="BodyText"/>
            </w:pPr>
            <w:r>
              <w:t xml:space="preserve">7-8</w:t>
            </w:r>
          </w:p>
        </w:tc>
        <w:tc>
          <w:tcPr/>
          <w:p>
            <w:pPr>
              <w:pStyle w:val="BodyText"/>
            </w:pPr>
            <w:r>
              <w:t xml:space="preserve">High</w:t>
            </w:r>
          </w:p>
        </w:tc>
        <w:tc>
          <w:tcPr/>
          <w:p>
            <w:pPr>
              <w:pStyle w:val="BodyText"/>
            </w:pPr>
            <w:r>
              <w:t xml:space="preserve">4.0%</w:t>
            </w:r>
          </w:p>
        </w:tc>
        <w:tc>
          <w:tcPr/>
          <w:p>
            <w:pPr>
              <w:pStyle w:val="BodyText"/>
            </w:pPr>
            <w:r>
              <w:t xml:space="preserve">Pneumatic compression devices AND low dose heparin OR low molecular weight heparin</w:t>
            </w:r>
          </w:p>
        </w:tc>
        <w:tc>
          <w:tcPr/>
          <w:p>
            <w:pPr>
              <w:pStyle w:val="BodyText"/>
            </w:pPr>
            <w:r>
              <w:t xml:space="preserve">7–10 days total</w:t>
            </w:r>
          </w:p>
        </w:tc>
      </w:tr>
      <w:tr>
        <w:tc>
          <w:tcPr/>
          <w:p>
            <w:pPr>
              <w:pStyle w:val="BodyText"/>
            </w:pPr>
            <w:r>
              <w:t xml:space="preserve">≥9</w:t>
            </w:r>
          </w:p>
        </w:tc>
        <w:tc>
          <w:tcPr/>
          <w:p>
            <w:pPr>
              <w:pStyle w:val="BodyText"/>
            </w:pPr>
            <w:r>
              <w:t xml:space="preserve">Highest</w:t>
            </w:r>
          </w:p>
        </w:tc>
        <w:tc>
          <w:tcPr/>
          <w:p>
            <w:pPr>
              <w:pStyle w:val="BodyText"/>
            </w:pPr>
            <w:r>
              <w:t xml:space="preserve">10.7%</w:t>
            </w:r>
          </w:p>
        </w:tc>
        <w:tc>
          <w:tcPr/>
          <w:p>
            <w:pPr>
              <w:pStyle w:val="BodyText"/>
            </w:pPr>
            <w:r>
              <w:t xml:space="preserve">Pneumatic compression devices AND low dose heparin OR low molecular weight heparin</w:t>
            </w:r>
          </w:p>
        </w:tc>
        <w:tc>
          <w:tcPr/>
          <w:p>
            <w:pPr>
              <w:pStyle w:val="BodyText"/>
            </w:pPr>
            <w:r>
              <w:t xml:space="preserve">30 days total</w:t>
            </w:r>
          </w:p>
        </w:tc>
      </w:tr>
    </w:tbl>
    <w:p>
      <w:pPr>
        <w:pStyle w:val="BodyText"/>
      </w:pPr>
      <w:r>
        <w:t xml:space="preserve">*From</w:t>
      </w:r>
      <w:r>
        <w:t xml:space="preserve"> </w:t>
      </w:r>
      <w:hyperlink r:id="rId101">
        <w:r>
          <w:rPr>
            <w:rStyle w:val="Hyperlink"/>
          </w:rPr>
          <w:t xml:space="preserve">Pannucci 2017</w:t>
        </w:r>
      </w:hyperlink>
      <w:r>
        <w:t xml:space="preserve">.</w:t>
      </w:r>
    </w:p>
    <w:p>
      <w:pPr>
        <w:pStyle w:val="BodyText"/>
      </w:pPr>
      <w:r>
        <w:t xml:space="preserve">**From</w:t>
      </w:r>
      <w:r>
        <w:t xml:space="preserve"> </w:t>
      </w:r>
      <w:hyperlink r:id="rId102">
        <w:r>
          <w:rPr>
            <w:rStyle w:val="Hyperlink"/>
          </w:rPr>
          <w:t xml:space="preserve">Bahl 2010</w:t>
        </w:r>
      </w:hyperlink>
      <w:r>
        <w:t xml:space="preserve">.</w:t>
      </w:r>
    </w:p>
    <w:bookmarkEnd w:id="103"/>
    <w:bookmarkStart w:id="111" w:name="evidence-appraisal"/>
    <w:p>
      <w:pPr>
        <w:pStyle w:val="Heading2"/>
      </w:pPr>
      <w:r>
        <w:t xml:space="preserve">EVIDENCE APPRAISAL</w:t>
      </w:r>
    </w:p>
    <w:p>
      <w:pPr>
        <w:pStyle w:val="FirstParagraph"/>
      </w:pPr>
      <w:r>
        <w:t xml:space="preserve">The original Caprini Score for VTE was developed in 1991 by</w:t>
      </w:r>
      <w:r>
        <w:t xml:space="preserve"> </w:t>
      </w:r>
      <w:hyperlink r:id="rId104">
        <w:r>
          <w:rPr>
            <w:rStyle w:val="Hyperlink"/>
          </w:rPr>
          <w:t xml:space="preserve">Joseph Caprini and colleagues</w:t>
        </w:r>
      </w:hyperlink>
      <w:r>
        <w:t xml:space="preserve">, who studied 538 patients admitted for surgery including general, urologic, orthopedic, gynecologic, and head and neck procedures. Twenty weighted risk factors were obtained from a face-to-face history and a total risk score obtained, and patients were stratified into low, moderate, and high risk depending on the score.</w:t>
      </w:r>
    </w:p>
    <w:p>
      <w:pPr>
        <w:pStyle w:val="BodyText"/>
      </w:pPr>
      <w:r>
        <w:t xml:space="preserve">Although no protocol for prophylaxis was studied in the original derivation, the Caprini Score has since been validated in multiple separate cohorts, including plastic and reconstructive surgery (</w:t>
      </w:r>
      <w:hyperlink r:id="rId105">
        <w:r>
          <w:rPr>
            <w:rStyle w:val="Hyperlink"/>
          </w:rPr>
          <w:t xml:space="preserve">Pannucci 2011</w:t>
        </w:r>
      </w:hyperlink>
      <w:r>
        <w:t xml:space="preserve">), surgical critical care (</w:t>
      </w:r>
      <w:hyperlink r:id="rId106">
        <w:r>
          <w:rPr>
            <w:rStyle w:val="Hyperlink"/>
          </w:rPr>
          <w:t xml:space="preserve">Obi 2015</w:t>
        </w:r>
      </w:hyperlink>
      <w:r>
        <w:t xml:space="preserve">), thyroid and parathyroid surgery (</w:t>
      </w:r>
      <w:hyperlink r:id="rId107">
        <w:r>
          <w:rPr>
            <w:rStyle w:val="Hyperlink"/>
          </w:rPr>
          <w:t xml:space="preserve">Macht 2017</w:t>
        </w:r>
      </w:hyperlink>
      <w:r>
        <w:t xml:space="preserve">), ear/nose/throat surgery (</w:t>
      </w:r>
      <w:hyperlink r:id="rId108">
        <w:r>
          <w:rPr>
            <w:rStyle w:val="Hyperlink"/>
          </w:rPr>
          <w:t xml:space="preserve">Shuman 2012</w:t>
        </w:r>
      </w:hyperlink>
      <w:r>
        <w:t xml:space="preserve">), foot and ankle surgery (</w:t>
      </w:r>
      <w:hyperlink r:id="rId109">
        <w:r>
          <w:rPr>
            <w:rStyle w:val="Hyperlink"/>
          </w:rPr>
          <w:t xml:space="preserve">Saragas 2014</w:t>
        </w:r>
      </w:hyperlink>
      <w:r>
        <w:t xml:space="preserve">), and others.</w:t>
      </w:r>
    </w:p>
    <w:p>
      <w:pPr>
        <w:pStyle w:val="BodyText"/>
      </w:pPr>
      <w:hyperlink r:id="rId101">
        <w:r>
          <w:rPr>
            <w:rStyle w:val="Hyperlink"/>
          </w:rPr>
          <w:t xml:space="preserve">Pannucci et al in 2017</w:t>
        </w:r>
      </w:hyperlink>
      <w:r>
        <w:t xml:space="preserve"> </w:t>
      </w:r>
      <w:r>
        <w:t xml:space="preserve">published a meta-analysis including 14,776 patients in 11 studies and found that VTE risk varied from 0.7% to 10.7% among surgical patients who did and did not receive chemoprophylaxis, respectively. Patients with higher Caprini Scores were significantly more likely to have VTE, and those with Caprini Scores of &gt;7 had significant reduction in VTE risk (OR 0.60, 95% CI 0.37-0.97 for Caprini Score 7 and OR 0.41, 95% CI 0.26-0.65 for Caprini Scores ≥8) after surgery with chemoprophylaxis.</w:t>
      </w:r>
    </w:p>
    <w:p>
      <w:pPr>
        <w:pStyle w:val="BodyText"/>
      </w:pPr>
      <w:r>
        <w:t xml:space="preserve">The Caprini Score is the risk assessment model recommended by the</w:t>
      </w:r>
      <w:r>
        <w:t xml:space="preserve"> </w:t>
      </w:r>
      <w:hyperlink r:id="rId110">
        <w:r>
          <w:rPr>
            <w:rStyle w:val="Hyperlink"/>
          </w:rPr>
          <w:t xml:space="preserve">2012 Chest guidelines for VTE prevention</w:t>
        </w:r>
      </w:hyperlink>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6" Target="https://jamanetwork.com/journals/jamasurgery/fullarticle/2426414" TargetMode="External" /><Relationship Type="http://schemas.openxmlformats.org/officeDocument/2006/relationships/hyperlink" Id="rId52" Target="https://journals.sagepub.com/doi/10.1177/1358863X16672576" TargetMode="External" /><Relationship Type="http://schemas.openxmlformats.org/officeDocument/2006/relationships/hyperlink" Id="rId73" Target="https://pubmed.ncbi.nlm.nih.gov/10190951/" TargetMode="External" /><Relationship Type="http://schemas.openxmlformats.org/officeDocument/2006/relationships/hyperlink" Id="rId65" Target="https://pubmed.ncbi.nlm.nih.gov/11114314/" TargetMode="External" /><Relationship Type="http://schemas.openxmlformats.org/officeDocument/2006/relationships/hyperlink" Id="rId62" Target="https://pubmed.ncbi.nlm.nih.gov/11309638/" TargetMode="External" /><Relationship Type="http://schemas.openxmlformats.org/officeDocument/2006/relationships/hyperlink" Id="rId80" Target="https://pubmed.ncbi.nlm.nih.gov/12020191/" TargetMode="External" /><Relationship Type="http://schemas.openxmlformats.org/officeDocument/2006/relationships/hyperlink" Id="rId66" Target="https://pubmed.ncbi.nlm.nih.gov/12624633/" TargetMode="External" /><Relationship Type="http://schemas.openxmlformats.org/officeDocument/2006/relationships/hyperlink" Id="rId32" Target="https://pubmed.ncbi.nlm.nih.gov/12814980/" TargetMode="External" /><Relationship Type="http://schemas.openxmlformats.org/officeDocument/2006/relationships/hyperlink" Id="rId90" Target="https://pubmed.ncbi.nlm.nih.gov/16388837/" TargetMode="External" /><Relationship Type="http://schemas.openxmlformats.org/officeDocument/2006/relationships/hyperlink" Id="rId71" Target="https://pubmed.ncbi.nlm.nih.gov/16505267/" TargetMode="External" /><Relationship Type="http://schemas.openxmlformats.org/officeDocument/2006/relationships/hyperlink" Id="rId35" Target="https://pubmed.ncbi.nlm.nih.gov/17264013/" TargetMode="External" /><Relationship Type="http://schemas.openxmlformats.org/officeDocument/2006/relationships/hyperlink" Id="rId31" Target="https://pubmed.ncbi.nlm.nih.gov/17367492/" TargetMode="External" /><Relationship Type="http://schemas.openxmlformats.org/officeDocument/2006/relationships/hyperlink" Id="rId57" Target="https://pubmed.ncbi.nlm.nih.gov/18521515/" TargetMode="External" /><Relationship Type="http://schemas.openxmlformats.org/officeDocument/2006/relationships/hyperlink" Id="rId47" Target="https://pubmed.ncbi.nlm.nih.gov/19236977/" TargetMode="External" /><Relationship Type="http://schemas.openxmlformats.org/officeDocument/2006/relationships/hyperlink" Id="rId58" Target="https://pubmed.ncbi.nlm.nih.gov/19307525/" TargetMode="External" /><Relationship Type="http://schemas.openxmlformats.org/officeDocument/2006/relationships/hyperlink" Id="rId46" Target="https://pubmed.ncbi.nlm.nih.gov/19554085/" TargetMode="External" /><Relationship Type="http://schemas.openxmlformats.org/officeDocument/2006/relationships/hyperlink" Id="rId45" Target="https://pubmed.ncbi.nlm.nih.gov/19608183/" TargetMode="External" /><Relationship Type="http://schemas.openxmlformats.org/officeDocument/2006/relationships/hyperlink" Id="rId81" Target="https://pubmed.ncbi.nlm.nih.gov/19772604/" TargetMode="External" /><Relationship Type="http://schemas.openxmlformats.org/officeDocument/2006/relationships/hyperlink" Id="rId42" Target="https://pubmed.ncbi.nlm.nih.gov/20403094/" TargetMode="External" /><Relationship Type="http://schemas.openxmlformats.org/officeDocument/2006/relationships/hyperlink" Id="rId91" Target="https://pubmed.ncbi.nlm.nih.gov/20806119/" TargetMode="External" /><Relationship Type="http://schemas.openxmlformats.org/officeDocument/2006/relationships/hyperlink" Id="rId26" Target="https://pubmed.ncbi.nlm.nih.gov/20838741/" TargetMode="External" /><Relationship Type="http://schemas.openxmlformats.org/officeDocument/2006/relationships/hyperlink" Id="rId72" Target="https://pubmed.ncbi.nlm.nih.gov/21116184/" TargetMode="External" /><Relationship Type="http://schemas.openxmlformats.org/officeDocument/2006/relationships/hyperlink" Id="rId92" Target="https://pubmed.ncbi.nlm.nih.gov/21232658/" TargetMode="External" /><Relationship Type="http://schemas.openxmlformats.org/officeDocument/2006/relationships/hyperlink" Id="rId68" Target="https://pubmed.ncbi.nlm.nih.gov/21900083/" TargetMode="External" /><Relationship Type="http://schemas.openxmlformats.org/officeDocument/2006/relationships/hyperlink" Id="rId33" Target="https://pubmed.ncbi.nlm.nih.gov/22026462/" TargetMode="External" /><Relationship Type="http://schemas.openxmlformats.org/officeDocument/2006/relationships/hyperlink" Id="rId88" Target="https://pubmed.ncbi.nlm.nih.gov/22560173/" TargetMode="External" /><Relationship Type="http://schemas.openxmlformats.org/officeDocument/2006/relationships/hyperlink" Id="rId28" Target="https://pubmed.ncbi.nlm.nih.gov/22726525/" TargetMode="External" /><Relationship Type="http://schemas.openxmlformats.org/officeDocument/2006/relationships/hyperlink" Id="rId70" Target="https://pubmed.ncbi.nlm.nih.gov/22828139/" TargetMode="External" /><Relationship Type="http://schemas.openxmlformats.org/officeDocument/2006/relationships/hyperlink" Id="rId51" Target="https://pubmed.ncbi.nlm.nih.gov/22915533/" TargetMode="External" /><Relationship Type="http://schemas.openxmlformats.org/officeDocument/2006/relationships/hyperlink" Id="rId59" Target="https://pubmed.ncbi.nlm.nih.gov/23348971/" TargetMode="External" /><Relationship Type="http://schemas.openxmlformats.org/officeDocument/2006/relationships/hyperlink" Id="rId86" Target="https://pubmed.ncbi.nlm.nih.gov/23481621/" TargetMode="External" /><Relationship Type="http://schemas.openxmlformats.org/officeDocument/2006/relationships/hyperlink" Id="rId74" Target="https://pubmed.ncbi.nlm.nih.gov/23900608/" TargetMode="External" /><Relationship Type="http://schemas.openxmlformats.org/officeDocument/2006/relationships/hyperlink" Id="rId50" Target="https://pubmed.ncbi.nlm.nih.gov/24112869/" TargetMode="External" /><Relationship Type="http://schemas.openxmlformats.org/officeDocument/2006/relationships/hyperlink" Id="rId95" Target="https://pubmed.ncbi.nlm.nih.gov/24184685/" TargetMode="External" /><Relationship Type="http://schemas.openxmlformats.org/officeDocument/2006/relationships/hyperlink" Id="rId75" Target="https://pubmed.ncbi.nlm.nih.gov/24319250/" TargetMode="External" /><Relationship Type="http://schemas.openxmlformats.org/officeDocument/2006/relationships/hyperlink" Id="rId36" Target="https://pubmed.ncbi.nlm.nih.gov/24796824/" TargetMode="External" /><Relationship Type="http://schemas.openxmlformats.org/officeDocument/2006/relationships/hyperlink" Id="rId38" Target="https://pubmed.ncbi.nlm.nih.gov/25249319/" TargetMode="External" /><Relationship Type="http://schemas.openxmlformats.org/officeDocument/2006/relationships/hyperlink" Id="rId61" Target="https://pubmed.ncbi.nlm.nih.gov/26252207/" TargetMode="External" /><Relationship Type="http://schemas.openxmlformats.org/officeDocument/2006/relationships/hyperlink" Id="rId87" Target="https://pubmed.ncbi.nlm.nih.gov/26271946/" TargetMode="External" /><Relationship Type="http://schemas.openxmlformats.org/officeDocument/2006/relationships/hyperlink" Id="rId54" Target="https://pubmed.ncbi.nlm.nih.gov/26340226/" TargetMode="External" /><Relationship Type="http://schemas.openxmlformats.org/officeDocument/2006/relationships/hyperlink" Id="rId34" Target="https://pubmed.ncbi.nlm.nih.gov/26817651/" TargetMode="External" /><Relationship Type="http://schemas.openxmlformats.org/officeDocument/2006/relationships/hyperlink" Id="rId22" Target="https://pubmed.ncbi.nlm.nih.gov/26821972/" TargetMode="External" /><Relationship Type="http://schemas.openxmlformats.org/officeDocument/2006/relationships/hyperlink" Id="rId67" Target="https://pubmed.ncbi.nlm.nih.gov/27061154/" TargetMode="External" /><Relationship Type="http://schemas.openxmlformats.org/officeDocument/2006/relationships/hyperlink" Id="rId25" Target="https://pubmed.ncbi.nlm.nih.gov/28532441/" TargetMode="External" /><Relationship Type="http://schemas.openxmlformats.org/officeDocument/2006/relationships/hyperlink" Id="rId83" Target="https://pubmed.ncbi.nlm.nih.gov/29101558/" TargetMode="External" /><Relationship Type="http://schemas.openxmlformats.org/officeDocument/2006/relationships/hyperlink" Id="rId64" Target="https://pubmed.ncbi.nlm.nih.gov/29420429/" TargetMode="External" /><Relationship Type="http://schemas.openxmlformats.org/officeDocument/2006/relationships/hyperlink" Id="rId49" Target="https://pubmed.ncbi.nlm.nih.gov/29486040/" TargetMode="External" /><Relationship Type="http://schemas.openxmlformats.org/officeDocument/2006/relationships/hyperlink" Id="rId93" Target="https://pubmed.ncbi.nlm.nih.gov/29754426/" TargetMode="External" /><Relationship Type="http://schemas.openxmlformats.org/officeDocument/2006/relationships/hyperlink" Id="rId97" Target="https://pubmed.ncbi.nlm.nih.gov/29789147/" TargetMode="External" /><Relationship Type="http://schemas.openxmlformats.org/officeDocument/2006/relationships/hyperlink" Id="rId96" Target="https://pubmed.ncbi.nlm.nih.gov/29928127/" TargetMode="External" /><Relationship Type="http://schemas.openxmlformats.org/officeDocument/2006/relationships/hyperlink" Id="rId43" Target="https://pubmed.ncbi.nlm.nih.gov/30144419/" TargetMode="External" /><Relationship Type="http://schemas.openxmlformats.org/officeDocument/2006/relationships/hyperlink" Id="rId63" Target="https://pubmed.ncbi.nlm.nih.gov/30294897/" TargetMode="External" /><Relationship Type="http://schemas.openxmlformats.org/officeDocument/2006/relationships/hyperlink" Id="rId78" Target="https://pubmed.ncbi.nlm.nih.gov/30463994/" TargetMode="External" /><Relationship Type="http://schemas.openxmlformats.org/officeDocument/2006/relationships/hyperlink" Id="rId76" Target="https://pubmed.ncbi.nlm.nih.gov/30466296/" TargetMode="External" /><Relationship Type="http://schemas.openxmlformats.org/officeDocument/2006/relationships/hyperlink" Id="rId89" Target="https://pubmed.ncbi.nlm.nih.gov/30566969/" TargetMode="External" /><Relationship Type="http://schemas.openxmlformats.org/officeDocument/2006/relationships/hyperlink" Id="rId41" Target="https://pubmed.ncbi.nlm.nih.gov/30700139/" TargetMode="External" /><Relationship Type="http://schemas.openxmlformats.org/officeDocument/2006/relationships/hyperlink" Id="rId82" Target="https://pubmed.ncbi.nlm.nih.gov/30923979/" TargetMode="External" /><Relationship Type="http://schemas.openxmlformats.org/officeDocument/2006/relationships/hyperlink" Id="rId24" Target="https://pubmed.ncbi.nlm.nih.gov/30939898/" TargetMode="External" /><Relationship Type="http://schemas.openxmlformats.org/officeDocument/2006/relationships/hyperlink" Id="rId40" Target="https://pubmed.ncbi.nlm.nih.gov/31075462/" TargetMode="External" /><Relationship Type="http://schemas.openxmlformats.org/officeDocument/2006/relationships/hyperlink" Id="rId44" Target="https://pubmed.ncbi.nlm.nih.gov/31213164/" TargetMode="External" /><Relationship Type="http://schemas.openxmlformats.org/officeDocument/2006/relationships/hyperlink" Id="rId77" Target="https://pubmed.ncbi.nlm.nih.gov/31257573/" TargetMode="External" /><Relationship Type="http://schemas.openxmlformats.org/officeDocument/2006/relationships/hyperlink" Id="rId94" Target="https://pubmed.ncbi.nlm.nih.gov/31381464/" TargetMode="External" /><Relationship Type="http://schemas.openxmlformats.org/officeDocument/2006/relationships/hyperlink" Id="rId84" Target="https://pubmed.ncbi.nlm.nih.gov/31430787/" TargetMode="External" /><Relationship Type="http://schemas.openxmlformats.org/officeDocument/2006/relationships/hyperlink" Id="rId39" Target="https://pubmed.ncbi.nlm.nih.gov/31519436/" TargetMode="External" /><Relationship Type="http://schemas.openxmlformats.org/officeDocument/2006/relationships/hyperlink" Id="rId37" Target="https://pubmed.ncbi.nlm.nih.gov/31654551/" TargetMode="External" /><Relationship Type="http://schemas.openxmlformats.org/officeDocument/2006/relationships/hyperlink" Id="rId85" Target="https://pubmed.ncbi.nlm.nih.gov/32209959/" TargetMode="External" /><Relationship Type="http://schemas.openxmlformats.org/officeDocument/2006/relationships/hyperlink" Id="rId23" Target="https://pubmed.ncbi.nlm.nih.gov/32215072/" TargetMode="External" /><Relationship Type="http://schemas.openxmlformats.org/officeDocument/2006/relationships/hyperlink" Id="rId55" Target="https://pubmed.ncbi.nlm.nih.gov/32479699/" TargetMode="External" /><Relationship Type="http://schemas.openxmlformats.org/officeDocument/2006/relationships/hyperlink" Id="rId56" Target="https://pubmed.ncbi.nlm.nih.gov/6161550/" TargetMode="External" /><Relationship Type="http://schemas.openxmlformats.org/officeDocument/2006/relationships/hyperlink" Id="rId21" Target="https://pubmed.ncbi.nlm.nih.gov/6195948/" TargetMode="External" /><Relationship Type="http://schemas.openxmlformats.org/officeDocument/2006/relationships/hyperlink" Id="rId53" Target="https://pubmed.ncbi.nlm.nih.gov/7877400/" TargetMode="External" /><Relationship Type="http://schemas.openxmlformats.org/officeDocument/2006/relationships/hyperlink" Id="rId110" Target="https://www.ncbi.nlm.nih.gov/pmc/articles/PMC3278061/" TargetMode="External" /><Relationship Type="http://schemas.openxmlformats.org/officeDocument/2006/relationships/hyperlink" Id="rId79" Target="https://www.ncbi.nlm.nih.gov/pmc/articles/PMC3769947/" TargetMode="External" /><Relationship Type="http://schemas.openxmlformats.org/officeDocument/2006/relationships/hyperlink" Id="rId69" Target="https://www.ncbi.nlm.nih.gov/pmc/articles/PMC4382082/" TargetMode="External" /><Relationship Type="http://schemas.openxmlformats.org/officeDocument/2006/relationships/hyperlink" Id="rId48" Target="https://www.ncbi.nlm.nih.gov/pmc/articles/PMC4981016/" TargetMode="External" /><Relationship Type="http://schemas.openxmlformats.org/officeDocument/2006/relationships/hyperlink" Id="rId104" Target="https://www.ncbi.nlm.nih.gov/pubmed/1754886" TargetMode="External" /><Relationship Type="http://schemas.openxmlformats.org/officeDocument/2006/relationships/hyperlink" Id="rId102" Target="https://www.ncbi.nlm.nih.gov/pubmed/19779324" TargetMode="External" /><Relationship Type="http://schemas.openxmlformats.org/officeDocument/2006/relationships/hyperlink" Id="rId105" Target="https://www.ncbi.nlm.nih.gov/pubmed/21093314" TargetMode="External" /><Relationship Type="http://schemas.openxmlformats.org/officeDocument/2006/relationships/hyperlink" Id="rId108" Target="https://www.ncbi.nlm.nih.gov/pubmed/22261490" TargetMode="External" /><Relationship Type="http://schemas.openxmlformats.org/officeDocument/2006/relationships/hyperlink" Id="rId109" Target="https://www.ncbi.nlm.nih.gov/pubmed/24796824" TargetMode="External" /><Relationship Type="http://schemas.openxmlformats.org/officeDocument/2006/relationships/hyperlink" Id="rId101" Target="https://www.ncbi.nlm.nih.gov/pubmed/28106607" TargetMode="External" /><Relationship Type="http://schemas.openxmlformats.org/officeDocument/2006/relationships/hyperlink" Id="rId107" Target="https://www.ncbi.nlm.nih.gov/pubmed/28161482" TargetMode="External" /><Relationship Type="http://schemas.openxmlformats.org/officeDocument/2006/relationships/hyperlink" Id="rId60" Target="https://www.youtube.com/watch?v=GJC5xRN6tpU" TargetMode="External" /><Relationship Type="http://schemas.openxmlformats.org/officeDocument/2006/relationships/hyperlink" Id="rId20" Target="https://www.youtube.com/watch?v=ZkrTteLxewQ" TargetMode="External" /><Relationship Type="http://schemas.openxmlformats.org/officeDocument/2006/relationships/hyperlink" Id="rId27" Target="https://www.youtube.com/watch?v=jj0HNY4BFG4" TargetMode="External" /></Relationships>
</file>

<file path=word/_rels/footnotes.xml.rels><?xml version="1.0" encoding="UTF-8"?><Relationships xmlns="http://schemas.openxmlformats.org/package/2006/relationships"><Relationship Type="http://schemas.openxmlformats.org/officeDocument/2006/relationships/hyperlink" Id="rId106" Target="https://jamanetwork.com/journals/jamasurgery/fullarticle/2426414" TargetMode="External" /><Relationship Type="http://schemas.openxmlformats.org/officeDocument/2006/relationships/hyperlink" Id="rId52" Target="https://journals.sagepub.com/doi/10.1177/1358863X16672576" TargetMode="External" /><Relationship Type="http://schemas.openxmlformats.org/officeDocument/2006/relationships/hyperlink" Id="rId73" Target="https://pubmed.ncbi.nlm.nih.gov/10190951/" TargetMode="External" /><Relationship Type="http://schemas.openxmlformats.org/officeDocument/2006/relationships/hyperlink" Id="rId65" Target="https://pubmed.ncbi.nlm.nih.gov/11114314/" TargetMode="External" /><Relationship Type="http://schemas.openxmlformats.org/officeDocument/2006/relationships/hyperlink" Id="rId62" Target="https://pubmed.ncbi.nlm.nih.gov/11309638/" TargetMode="External" /><Relationship Type="http://schemas.openxmlformats.org/officeDocument/2006/relationships/hyperlink" Id="rId80" Target="https://pubmed.ncbi.nlm.nih.gov/12020191/" TargetMode="External" /><Relationship Type="http://schemas.openxmlformats.org/officeDocument/2006/relationships/hyperlink" Id="rId66" Target="https://pubmed.ncbi.nlm.nih.gov/12624633/" TargetMode="External" /><Relationship Type="http://schemas.openxmlformats.org/officeDocument/2006/relationships/hyperlink" Id="rId32" Target="https://pubmed.ncbi.nlm.nih.gov/12814980/" TargetMode="External" /><Relationship Type="http://schemas.openxmlformats.org/officeDocument/2006/relationships/hyperlink" Id="rId90" Target="https://pubmed.ncbi.nlm.nih.gov/16388837/" TargetMode="External" /><Relationship Type="http://schemas.openxmlformats.org/officeDocument/2006/relationships/hyperlink" Id="rId71" Target="https://pubmed.ncbi.nlm.nih.gov/16505267/" TargetMode="External" /><Relationship Type="http://schemas.openxmlformats.org/officeDocument/2006/relationships/hyperlink" Id="rId35" Target="https://pubmed.ncbi.nlm.nih.gov/17264013/" TargetMode="External" /><Relationship Type="http://schemas.openxmlformats.org/officeDocument/2006/relationships/hyperlink" Id="rId31" Target="https://pubmed.ncbi.nlm.nih.gov/17367492/" TargetMode="External" /><Relationship Type="http://schemas.openxmlformats.org/officeDocument/2006/relationships/hyperlink" Id="rId57" Target="https://pubmed.ncbi.nlm.nih.gov/18521515/" TargetMode="External" /><Relationship Type="http://schemas.openxmlformats.org/officeDocument/2006/relationships/hyperlink" Id="rId47" Target="https://pubmed.ncbi.nlm.nih.gov/19236977/" TargetMode="External" /><Relationship Type="http://schemas.openxmlformats.org/officeDocument/2006/relationships/hyperlink" Id="rId58" Target="https://pubmed.ncbi.nlm.nih.gov/19307525/" TargetMode="External" /><Relationship Type="http://schemas.openxmlformats.org/officeDocument/2006/relationships/hyperlink" Id="rId46" Target="https://pubmed.ncbi.nlm.nih.gov/19554085/" TargetMode="External" /><Relationship Type="http://schemas.openxmlformats.org/officeDocument/2006/relationships/hyperlink" Id="rId45" Target="https://pubmed.ncbi.nlm.nih.gov/19608183/" TargetMode="External" /><Relationship Type="http://schemas.openxmlformats.org/officeDocument/2006/relationships/hyperlink" Id="rId81" Target="https://pubmed.ncbi.nlm.nih.gov/19772604/" TargetMode="External" /><Relationship Type="http://schemas.openxmlformats.org/officeDocument/2006/relationships/hyperlink" Id="rId42" Target="https://pubmed.ncbi.nlm.nih.gov/20403094/" TargetMode="External" /><Relationship Type="http://schemas.openxmlformats.org/officeDocument/2006/relationships/hyperlink" Id="rId91" Target="https://pubmed.ncbi.nlm.nih.gov/20806119/" TargetMode="External" /><Relationship Type="http://schemas.openxmlformats.org/officeDocument/2006/relationships/hyperlink" Id="rId26" Target="https://pubmed.ncbi.nlm.nih.gov/20838741/" TargetMode="External" /><Relationship Type="http://schemas.openxmlformats.org/officeDocument/2006/relationships/hyperlink" Id="rId72" Target="https://pubmed.ncbi.nlm.nih.gov/21116184/" TargetMode="External" /><Relationship Type="http://schemas.openxmlformats.org/officeDocument/2006/relationships/hyperlink" Id="rId92" Target="https://pubmed.ncbi.nlm.nih.gov/21232658/" TargetMode="External" /><Relationship Type="http://schemas.openxmlformats.org/officeDocument/2006/relationships/hyperlink" Id="rId68" Target="https://pubmed.ncbi.nlm.nih.gov/21900083/" TargetMode="External" /><Relationship Type="http://schemas.openxmlformats.org/officeDocument/2006/relationships/hyperlink" Id="rId33" Target="https://pubmed.ncbi.nlm.nih.gov/22026462/" TargetMode="External" /><Relationship Type="http://schemas.openxmlformats.org/officeDocument/2006/relationships/hyperlink" Id="rId88" Target="https://pubmed.ncbi.nlm.nih.gov/22560173/" TargetMode="External" /><Relationship Type="http://schemas.openxmlformats.org/officeDocument/2006/relationships/hyperlink" Id="rId28" Target="https://pubmed.ncbi.nlm.nih.gov/22726525/" TargetMode="External" /><Relationship Type="http://schemas.openxmlformats.org/officeDocument/2006/relationships/hyperlink" Id="rId70" Target="https://pubmed.ncbi.nlm.nih.gov/22828139/" TargetMode="External" /><Relationship Type="http://schemas.openxmlformats.org/officeDocument/2006/relationships/hyperlink" Id="rId51" Target="https://pubmed.ncbi.nlm.nih.gov/22915533/" TargetMode="External" /><Relationship Type="http://schemas.openxmlformats.org/officeDocument/2006/relationships/hyperlink" Id="rId59" Target="https://pubmed.ncbi.nlm.nih.gov/23348971/" TargetMode="External" /><Relationship Type="http://schemas.openxmlformats.org/officeDocument/2006/relationships/hyperlink" Id="rId86" Target="https://pubmed.ncbi.nlm.nih.gov/23481621/" TargetMode="External" /><Relationship Type="http://schemas.openxmlformats.org/officeDocument/2006/relationships/hyperlink" Id="rId74" Target="https://pubmed.ncbi.nlm.nih.gov/23900608/" TargetMode="External" /><Relationship Type="http://schemas.openxmlformats.org/officeDocument/2006/relationships/hyperlink" Id="rId50" Target="https://pubmed.ncbi.nlm.nih.gov/24112869/" TargetMode="External" /><Relationship Type="http://schemas.openxmlformats.org/officeDocument/2006/relationships/hyperlink" Id="rId95" Target="https://pubmed.ncbi.nlm.nih.gov/24184685/" TargetMode="External" /><Relationship Type="http://schemas.openxmlformats.org/officeDocument/2006/relationships/hyperlink" Id="rId75" Target="https://pubmed.ncbi.nlm.nih.gov/24319250/" TargetMode="External" /><Relationship Type="http://schemas.openxmlformats.org/officeDocument/2006/relationships/hyperlink" Id="rId36" Target="https://pubmed.ncbi.nlm.nih.gov/24796824/" TargetMode="External" /><Relationship Type="http://schemas.openxmlformats.org/officeDocument/2006/relationships/hyperlink" Id="rId38" Target="https://pubmed.ncbi.nlm.nih.gov/25249319/" TargetMode="External" /><Relationship Type="http://schemas.openxmlformats.org/officeDocument/2006/relationships/hyperlink" Id="rId61" Target="https://pubmed.ncbi.nlm.nih.gov/26252207/" TargetMode="External" /><Relationship Type="http://schemas.openxmlformats.org/officeDocument/2006/relationships/hyperlink" Id="rId87" Target="https://pubmed.ncbi.nlm.nih.gov/26271946/" TargetMode="External" /><Relationship Type="http://schemas.openxmlformats.org/officeDocument/2006/relationships/hyperlink" Id="rId54" Target="https://pubmed.ncbi.nlm.nih.gov/26340226/" TargetMode="External" /><Relationship Type="http://schemas.openxmlformats.org/officeDocument/2006/relationships/hyperlink" Id="rId34" Target="https://pubmed.ncbi.nlm.nih.gov/26817651/" TargetMode="External" /><Relationship Type="http://schemas.openxmlformats.org/officeDocument/2006/relationships/hyperlink" Id="rId22" Target="https://pubmed.ncbi.nlm.nih.gov/26821972/" TargetMode="External" /><Relationship Type="http://schemas.openxmlformats.org/officeDocument/2006/relationships/hyperlink" Id="rId67" Target="https://pubmed.ncbi.nlm.nih.gov/27061154/" TargetMode="External" /><Relationship Type="http://schemas.openxmlformats.org/officeDocument/2006/relationships/hyperlink" Id="rId25" Target="https://pubmed.ncbi.nlm.nih.gov/28532441/" TargetMode="External" /><Relationship Type="http://schemas.openxmlformats.org/officeDocument/2006/relationships/hyperlink" Id="rId83" Target="https://pubmed.ncbi.nlm.nih.gov/29101558/" TargetMode="External" /><Relationship Type="http://schemas.openxmlformats.org/officeDocument/2006/relationships/hyperlink" Id="rId64" Target="https://pubmed.ncbi.nlm.nih.gov/29420429/" TargetMode="External" /><Relationship Type="http://schemas.openxmlformats.org/officeDocument/2006/relationships/hyperlink" Id="rId49" Target="https://pubmed.ncbi.nlm.nih.gov/29486040/" TargetMode="External" /><Relationship Type="http://schemas.openxmlformats.org/officeDocument/2006/relationships/hyperlink" Id="rId93" Target="https://pubmed.ncbi.nlm.nih.gov/29754426/" TargetMode="External" /><Relationship Type="http://schemas.openxmlformats.org/officeDocument/2006/relationships/hyperlink" Id="rId97" Target="https://pubmed.ncbi.nlm.nih.gov/29789147/" TargetMode="External" /><Relationship Type="http://schemas.openxmlformats.org/officeDocument/2006/relationships/hyperlink" Id="rId96" Target="https://pubmed.ncbi.nlm.nih.gov/29928127/" TargetMode="External" /><Relationship Type="http://schemas.openxmlformats.org/officeDocument/2006/relationships/hyperlink" Id="rId43" Target="https://pubmed.ncbi.nlm.nih.gov/30144419/" TargetMode="External" /><Relationship Type="http://schemas.openxmlformats.org/officeDocument/2006/relationships/hyperlink" Id="rId63" Target="https://pubmed.ncbi.nlm.nih.gov/30294897/" TargetMode="External" /><Relationship Type="http://schemas.openxmlformats.org/officeDocument/2006/relationships/hyperlink" Id="rId78" Target="https://pubmed.ncbi.nlm.nih.gov/30463994/" TargetMode="External" /><Relationship Type="http://schemas.openxmlformats.org/officeDocument/2006/relationships/hyperlink" Id="rId76" Target="https://pubmed.ncbi.nlm.nih.gov/30466296/" TargetMode="External" /><Relationship Type="http://schemas.openxmlformats.org/officeDocument/2006/relationships/hyperlink" Id="rId89" Target="https://pubmed.ncbi.nlm.nih.gov/30566969/" TargetMode="External" /><Relationship Type="http://schemas.openxmlformats.org/officeDocument/2006/relationships/hyperlink" Id="rId41" Target="https://pubmed.ncbi.nlm.nih.gov/30700139/" TargetMode="External" /><Relationship Type="http://schemas.openxmlformats.org/officeDocument/2006/relationships/hyperlink" Id="rId82" Target="https://pubmed.ncbi.nlm.nih.gov/30923979/" TargetMode="External" /><Relationship Type="http://schemas.openxmlformats.org/officeDocument/2006/relationships/hyperlink" Id="rId24" Target="https://pubmed.ncbi.nlm.nih.gov/30939898/" TargetMode="External" /><Relationship Type="http://schemas.openxmlformats.org/officeDocument/2006/relationships/hyperlink" Id="rId40" Target="https://pubmed.ncbi.nlm.nih.gov/31075462/" TargetMode="External" /><Relationship Type="http://schemas.openxmlformats.org/officeDocument/2006/relationships/hyperlink" Id="rId44" Target="https://pubmed.ncbi.nlm.nih.gov/31213164/" TargetMode="External" /><Relationship Type="http://schemas.openxmlformats.org/officeDocument/2006/relationships/hyperlink" Id="rId77" Target="https://pubmed.ncbi.nlm.nih.gov/31257573/" TargetMode="External" /><Relationship Type="http://schemas.openxmlformats.org/officeDocument/2006/relationships/hyperlink" Id="rId94" Target="https://pubmed.ncbi.nlm.nih.gov/31381464/" TargetMode="External" /><Relationship Type="http://schemas.openxmlformats.org/officeDocument/2006/relationships/hyperlink" Id="rId84" Target="https://pubmed.ncbi.nlm.nih.gov/31430787/" TargetMode="External" /><Relationship Type="http://schemas.openxmlformats.org/officeDocument/2006/relationships/hyperlink" Id="rId39" Target="https://pubmed.ncbi.nlm.nih.gov/31519436/" TargetMode="External" /><Relationship Type="http://schemas.openxmlformats.org/officeDocument/2006/relationships/hyperlink" Id="rId37" Target="https://pubmed.ncbi.nlm.nih.gov/31654551/" TargetMode="External" /><Relationship Type="http://schemas.openxmlformats.org/officeDocument/2006/relationships/hyperlink" Id="rId85" Target="https://pubmed.ncbi.nlm.nih.gov/32209959/" TargetMode="External" /><Relationship Type="http://schemas.openxmlformats.org/officeDocument/2006/relationships/hyperlink" Id="rId23" Target="https://pubmed.ncbi.nlm.nih.gov/32215072/" TargetMode="External" /><Relationship Type="http://schemas.openxmlformats.org/officeDocument/2006/relationships/hyperlink" Id="rId55" Target="https://pubmed.ncbi.nlm.nih.gov/32479699/" TargetMode="External" /><Relationship Type="http://schemas.openxmlformats.org/officeDocument/2006/relationships/hyperlink" Id="rId56" Target="https://pubmed.ncbi.nlm.nih.gov/6161550/" TargetMode="External" /><Relationship Type="http://schemas.openxmlformats.org/officeDocument/2006/relationships/hyperlink" Id="rId21" Target="https://pubmed.ncbi.nlm.nih.gov/6195948/" TargetMode="External" /><Relationship Type="http://schemas.openxmlformats.org/officeDocument/2006/relationships/hyperlink" Id="rId53" Target="https://pubmed.ncbi.nlm.nih.gov/7877400/" TargetMode="External" /><Relationship Type="http://schemas.openxmlformats.org/officeDocument/2006/relationships/hyperlink" Id="rId110" Target="https://www.ncbi.nlm.nih.gov/pmc/articles/PMC3278061/" TargetMode="External" /><Relationship Type="http://schemas.openxmlformats.org/officeDocument/2006/relationships/hyperlink" Id="rId79" Target="https://www.ncbi.nlm.nih.gov/pmc/articles/PMC3769947/" TargetMode="External" /><Relationship Type="http://schemas.openxmlformats.org/officeDocument/2006/relationships/hyperlink" Id="rId69" Target="https://www.ncbi.nlm.nih.gov/pmc/articles/PMC4382082/" TargetMode="External" /><Relationship Type="http://schemas.openxmlformats.org/officeDocument/2006/relationships/hyperlink" Id="rId48" Target="https://www.ncbi.nlm.nih.gov/pmc/articles/PMC4981016/" TargetMode="External" /><Relationship Type="http://schemas.openxmlformats.org/officeDocument/2006/relationships/hyperlink" Id="rId104" Target="https://www.ncbi.nlm.nih.gov/pubmed/1754886" TargetMode="External" /><Relationship Type="http://schemas.openxmlformats.org/officeDocument/2006/relationships/hyperlink" Id="rId102" Target="https://www.ncbi.nlm.nih.gov/pubmed/19779324" TargetMode="External" /><Relationship Type="http://schemas.openxmlformats.org/officeDocument/2006/relationships/hyperlink" Id="rId105" Target="https://www.ncbi.nlm.nih.gov/pubmed/21093314" TargetMode="External" /><Relationship Type="http://schemas.openxmlformats.org/officeDocument/2006/relationships/hyperlink" Id="rId108" Target="https://www.ncbi.nlm.nih.gov/pubmed/22261490" TargetMode="External" /><Relationship Type="http://schemas.openxmlformats.org/officeDocument/2006/relationships/hyperlink" Id="rId109" Target="https://www.ncbi.nlm.nih.gov/pubmed/24796824" TargetMode="External" /><Relationship Type="http://schemas.openxmlformats.org/officeDocument/2006/relationships/hyperlink" Id="rId101" Target="https://www.ncbi.nlm.nih.gov/pubmed/28106607" TargetMode="External" /><Relationship Type="http://schemas.openxmlformats.org/officeDocument/2006/relationships/hyperlink" Id="rId107" Target="https://www.ncbi.nlm.nih.gov/pubmed/28161482" TargetMode="External" /><Relationship Type="http://schemas.openxmlformats.org/officeDocument/2006/relationships/hyperlink" Id="rId60" Target="https://www.youtube.com/watch?v=GJC5xRN6tpU" TargetMode="External" /><Relationship Type="http://schemas.openxmlformats.org/officeDocument/2006/relationships/hyperlink" Id="rId20" Target="https://www.youtube.com/watch?v=ZkrTteLxewQ" TargetMode="External" /><Relationship Type="http://schemas.openxmlformats.org/officeDocument/2006/relationships/hyperlink" Id="rId27" Target="https://www.youtube.com/watch?v=jj0HNY4BFG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2024-07-22T20:04:18Z</dcterms:created>
  <dcterms:modified xsi:type="dcterms:W3CDTF">2024-07-22T20:04:18Z</dcterms:modified>
</cp:coreProperties>
</file>

<file path=docProps/custom.xml><?xml version="1.0" encoding="utf-8"?>
<Properties xmlns="http://schemas.openxmlformats.org/officeDocument/2006/custom-properties" xmlns:vt="http://schemas.openxmlformats.org/officeDocument/2006/docPropsVTypes"/>
</file>