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dff373a32026485694ace881496f024ae1e6e38"/>
    <w:p>
      <w:pPr>
        <w:pStyle w:val="Heading1"/>
      </w:pPr>
      <w:r>
        <w:t xml:space="preserve">CHADS</w:t>
      </w:r>
      <w:r>
        <w:rPr>
          <w:vertAlign w:val="subscript"/>
        </w:rPr>
        <w:t xml:space="preserve">2</w:t>
      </w:r>
      <w:r>
        <w:t xml:space="preserve"> </w:t>
      </w:r>
      <w:r>
        <w:t xml:space="preserve">Score for Atrial Fibrillation Stroke Risk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CHF history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Hypertension history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Age ≥ 75 years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Diabetes mellitus history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Stroke or TIA symptoms previously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Yes (2)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Addition of the selected points:</w:t>
      </w:r>
    </w:p>
    <w:bookmarkEnd w:id="21"/>
    <w:bookmarkStart w:id="22" w:name="facts-figures"/>
    <w:p>
      <w:pPr>
        <w:pStyle w:val="Heading2"/>
      </w:pPr>
      <w:r>
        <w:t xml:space="preserve">FACTS &amp; FIGURES</w:t>
      </w:r>
    </w:p>
    <w:p>
      <w:pPr>
        <w:pStyle w:val="FirstParagraph"/>
      </w:pPr>
      <w:r>
        <w:t xml:space="preserve">See formula table, below: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Points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Congestive heart failure history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 history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≥ 75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Diabetes mellitus history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Stroke or TIA symptoms previously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</w:tbl>
    <w:bookmarkEnd w:id="22"/>
    <w:bookmarkStart w:id="27" w:name="evidence-appraisal"/>
    <w:p>
      <w:pPr>
        <w:pStyle w:val="Heading2"/>
      </w:pPr>
      <w:r>
        <w:t xml:space="preserve">EVIDENCE APPRAISAL</w:t>
      </w:r>
    </w:p>
    <w:p>
      <w:pPr>
        <w:pStyle w:val="Compact"/>
        <w:numPr>
          <w:ilvl w:val="0"/>
          <w:numId w:val="1006"/>
        </w:numPr>
      </w:pPr>
      <w:r>
        <w:t xml:space="preserve">Although in the initial derivation and validation studies a CHADS</w:t>
      </w:r>
      <w:r>
        <w:rPr>
          <w:vertAlign w:val="subscript"/>
        </w:rPr>
        <w:t xml:space="preserve">2</w:t>
      </w:r>
      <w:r>
        <w:t xml:space="preserve"> </w:t>
      </w:r>
      <w:r>
        <w:t xml:space="preserve">score of 0 was associated with a low annual stroke risk of 1.9 and 0.8% respectively, subsequent studies have found that patients with a CHADS</w:t>
      </w:r>
      <w:r>
        <w:rPr>
          <w:vertAlign w:val="subscript"/>
        </w:rPr>
        <w:t xml:space="preserve">2</w:t>
      </w:r>
      <w:r>
        <w:t xml:space="preserve"> </w:t>
      </w:r>
      <w:r>
        <w:t xml:space="preserve">score of 0 may have up to a 3.2% per year risk of ischemic stroke (</w:t>
      </w:r>
      <w:hyperlink r:id="rId23">
        <w:r>
          <w:rPr>
            <w:rStyle w:val="Hyperlink"/>
          </w:rPr>
          <w:t xml:space="preserve">Gage 2004</w:t>
        </w:r>
      </w:hyperlink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The derivation study, published in 2001, was a retrospective review of the National Registry of Atrial Fibrillation involving 1,733 patients and 2,121 patient years (</w:t>
      </w:r>
      <w:hyperlink r:id="rId23">
        <w:r>
          <w:rPr>
            <w:rStyle w:val="Hyperlink"/>
          </w:rPr>
          <w:t xml:space="preserve">Gage 2004</w:t>
        </w:r>
      </w:hyperlink>
      <w:r>
        <w:t xml:space="preserve">).</w:t>
      </w:r>
    </w:p>
    <w:p>
      <w:pPr>
        <w:pStyle w:val="Compact"/>
        <w:numPr>
          <w:ilvl w:val="1"/>
          <w:numId w:val="1007"/>
        </w:numPr>
      </w:pPr>
      <w:r>
        <w:t xml:space="preserve">It compared the performance of the CHADS</w:t>
      </w:r>
      <w:r>
        <w:rPr>
          <w:vertAlign w:val="subscript"/>
        </w:rPr>
        <w:t xml:space="preserve">2</w:t>
      </w:r>
      <w:r>
        <w:t xml:space="preserve"> </w:t>
      </w:r>
      <w:r>
        <w:t xml:space="preserve">score to two previously established stroke risk(AFI and SPAF III).</w:t>
      </w:r>
    </w:p>
    <w:p>
      <w:pPr>
        <w:pStyle w:val="Compact"/>
        <w:numPr>
          <w:ilvl w:val="1"/>
          <w:numId w:val="1007"/>
        </w:numPr>
      </w:pPr>
      <w:r>
        <w:t xml:space="preserve">Found that the CHADS</w:t>
      </w:r>
      <w:r>
        <w:rPr>
          <w:vertAlign w:val="subscript"/>
        </w:rPr>
        <w:t xml:space="preserve">2</w:t>
      </w:r>
      <w:r>
        <w:t xml:space="preserve"> </w:t>
      </w:r>
      <w:r>
        <w:t xml:space="preserve">was the most accurate at predicting future stroke risk, with risk increasing by a factor of 1.5 for every additional point in a subject’s score.</w:t>
      </w:r>
    </w:p>
    <w:p>
      <w:pPr>
        <w:pStyle w:val="Compact"/>
        <w:numPr>
          <w:ilvl w:val="0"/>
          <w:numId w:val="1008"/>
        </w:numPr>
      </w:pPr>
      <w:r>
        <w:t xml:space="preserve">The validation study included 2,580 subjects with non-valvular AF who were started on aspirin and found that the CHADS</w:t>
      </w:r>
      <w:r>
        <w:rPr>
          <w:vertAlign w:val="subscript"/>
        </w:rPr>
        <w:t xml:space="preserve">2</w:t>
      </w:r>
      <w:r>
        <w:t xml:space="preserve"> </w:t>
      </w:r>
      <w:r>
        <w:t xml:space="preserve">score could successfully risk stratify patients (</w:t>
      </w:r>
      <w:hyperlink r:id="rId24">
        <w:r>
          <w:rPr>
            <w:rStyle w:val="Hyperlink"/>
          </w:rPr>
          <w:t xml:space="preserve">Gage 2001</w:t>
        </w:r>
      </w:hyperlink>
      <w:r>
        <w:t xml:space="preserve">).</w:t>
      </w:r>
    </w:p>
    <w:p>
      <w:pPr>
        <w:pStyle w:val="Compact"/>
        <w:numPr>
          <w:ilvl w:val="1"/>
          <w:numId w:val="1009"/>
        </w:numPr>
      </w:pPr>
      <w:r>
        <w:t xml:space="preserve">A score of 0 translated into a 0.8% annual stroke risk in this cohort, potentially making these patients appropriate for forgoing oral anticoagulation.</w:t>
      </w:r>
    </w:p>
    <w:p>
      <w:pPr>
        <w:pStyle w:val="Compact"/>
        <w:numPr>
          <w:ilvl w:val="1"/>
          <w:numId w:val="1009"/>
        </w:numPr>
      </w:pPr>
      <w:r>
        <w:t xml:space="preserve">Patients with a score of 1-2 had a 2.7% annual stroke risk.</w:t>
      </w:r>
    </w:p>
    <w:p>
      <w:pPr>
        <w:pStyle w:val="Compact"/>
        <w:numPr>
          <w:ilvl w:val="1"/>
          <w:numId w:val="1009"/>
        </w:numPr>
      </w:pPr>
      <w:r>
        <w:t xml:space="preserve">Patients with a score of 3 or more had a stroke risk of 5.3% up to 18.2% for subjects with a CHADS</w:t>
      </w:r>
      <w:r>
        <w:rPr>
          <w:vertAlign w:val="subscript"/>
        </w:rPr>
        <w:t xml:space="preserve">2</w:t>
      </w:r>
      <w:r>
        <w:t xml:space="preserve"> </w:t>
      </w:r>
      <w:r>
        <w:t xml:space="preserve">score of 6.</w:t>
      </w:r>
    </w:p>
    <w:p>
      <w:pPr>
        <w:pStyle w:val="Compact"/>
        <w:numPr>
          <w:ilvl w:val="0"/>
          <w:numId w:val="1009"/>
        </w:numPr>
      </w:pPr>
      <w:r>
        <w:t xml:space="preserve">A study of the Danish National Patient Registry identified 146,251 patients with non-valvular AF and found that 47,576 had a CHADS</w:t>
      </w:r>
      <w:r>
        <w:rPr>
          <w:vertAlign w:val="subscript"/>
        </w:rPr>
        <w:t xml:space="preserve">2</w:t>
      </w:r>
      <w:r>
        <w:t xml:space="preserve"> </w:t>
      </w:r>
      <w:r>
        <w:t xml:space="preserve">score of 0 or 1 (</w:t>
      </w:r>
      <w:hyperlink r:id="rId25">
        <w:r>
          <w:rPr>
            <w:rStyle w:val="Hyperlink"/>
          </w:rPr>
          <w:t xml:space="preserve">Olesen 2012</w:t>
        </w:r>
      </w:hyperlink>
      <w:r>
        <w:t xml:space="preserve">).</w:t>
      </w:r>
    </w:p>
    <w:p>
      <w:pPr>
        <w:pStyle w:val="Compact"/>
        <w:numPr>
          <w:ilvl w:val="1"/>
          <w:numId w:val="1010"/>
        </w:numPr>
      </w:pPr>
      <w:r>
        <w:t xml:space="preserve">19,444 had a CHADS</w:t>
      </w:r>
      <w:r>
        <w:rPr>
          <w:vertAlign w:val="subscript"/>
        </w:rPr>
        <w:t xml:space="preserve">2</w:t>
      </w:r>
      <w:r>
        <w:t xml:space="preserve"> </w:t>
      </w:r>
      <w:r>
        <w:t xml:space="preserve">score of 0 and the CHA₂DS₂-VASc Score was applied to these patients.</w:t>
      </w:r>
    </w:p>
    <w:p>
      <w:pPr>
        <w:pStyle w:val="Compact"/>
        <w:numPr>
          <w:ilvl w:val="1"/>
          <w:numId w:val="1010"/>
        </w:numPr>
      </w:pPr>
      <w:r>
        <w:t xml:space="preserve">Authors found that in patients with a CHADS2 score of 0 but a CHA₂DS₂-VASc score of 3 (if they had all three risk factors not accounted for by CHADS</w:t>
      </w:r>
      <w:r>
        <w:rPr>
          <w:vertAlign w:val="subscript"/>
        </w:rPr>
        <w:t xml:space="preserve">2</w:t>
      </w:r>
      <w:r>
        <w:t xml:space="preserve">) that this cohort was at a 3.2% annual risk of stroke.</w:t>
      </w:r>
    </w:p>
    <w:p>
      <w:pPr>
        <w:pStyle w:val="Compact"/>
        <w:numPr>
          <w:ilvl w:val="1"/>
          <w:numId w:val="1010"/>
        </w:numPr>
      </w:pPr>
      <w:r>
        <w:t xml:space="preserve">In contrast, patients with a CHA₂DS₂-VASc score of 0 was considered to be “truly low risk” with an annual ischemic stroke risk of 0.82%.</w:t>
      </w:r>
    </w:p>
    <w:p>
      <w:pPr>
        <w:pStyle w:val="Compact"/>
        <w:numPr>
          <w:ilvl w:val="0"/>
          <w:numId w:val="1010"/>
        </w:numPr>
      </w:pPr>
      <w:r>
        <w:t xml:space="preserve">Among 541 patients with non-valvular AF (of</w:t>
      </w:r>
      <w:r>
        <w:t xml:space="preserve"> </w:t>
      </w:r>
      <w:r>
        <w:t xml:space="preserve">&gt;</w:t>
      </w:r>
      <w:r>
        <w:t xml:space="preserve">48 hours duration) who underwent electrical cardioversion, 136 had a CHADS</w:t>
      </w:r>
      <w:r>
        <w:rPr>
          <w:vertAlign w:val="subscript"/>
        </w:rPr>
        <w:t xml:space="preserve">2</w:t>
      </w:r>
      <w:r>
        <w:t xml:space="preserve"> </w:t>
      </w:r>
      <w:r>
        <w:t xml:space="preserve">score of 0 but 14 of those patients were found to have atrial thrombus on echocardiography, suggesting that the score missed 10% of patients who would have been at a high risk for a thromboembolic stroke after cardioversion (</w:t>
      </w:r>
      <w:hyperlink r:id="rId26">
        <w:r>
          <w:rPr>
            <w:rStyle w:val="Hyperlink"/>
          </w:rPr>
          <w:t xml:space="preserve">Yarmohammadi H 2012</w:t>
        </w:r>
      </w:hyperlink>
      <w:r>
        <w:t xml:space="preserve">).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ncbi.nlm.nih.gov/pubmed/11401607" TargetMode="External" /><Relationship Type="http://schemas.openxmlformats.org/officeDocument/2006/relationships/hyperlink" Id="rId23" Target="https://www.ncbi.nlm.nih.gov/pubmed/15477396" TargetMode="External" /><Relationship Type="http://schemas.openxmlformats.org/officeDocument/2006/relationships/hyperlink" Id="rId25" Target="https://www.ncbi.nlm.nih.gov/pubmed/22473219" TargetMode="External" /><Relationship Type="http://schemas.openxmlformats.org/officeDocument/2006/relationships/hyperlink" Id="rId26" Target="https://www.ncbi.nlm.nih.gov/pubmed/2250358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ncbi.nlm.nih.gov/pubmed/11401607" TargetMode="External" /><Relationship Type="http://schemas.openxmlformats.org/officeDocument/2006/relationships/hyperlink" Id="rId23" Target="https://www.ncbi.nlm.nih.gov/pubmed/15477396" TargetMode="External" /><Relationship Type="http://schemas.openxmlformats.org/officeDocument/2006/relationships/hyperlink" Id="rId25" Target="https://www.ncbi.nlm.nih.gov/pubmed/22473219" TargetMode="External" /><Relationship Type="http://schemas.openxmlformats.org/officeDocument/2006/relationships/hyperlink" Id="rId26" Target="https://www.ncbi.nlm.nih.gov/pubmed/225035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2024-07-22T20:04:53Z</dcterms:created>
  <dcterms:modified xsi:type="dcterms:W3CDTF">2024-07-22T20:04:53Z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