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iwa-ar-for-alcohol-withdrawal"/>
    <w:p>
      <w:pPr>
        <w:pStyle w:val="Heading1"/>
      </w:pPr>
      <w:r>
        <w:t xml:space="preserve">CIWA-Ar for Alcohol Withdrawal</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Nausea/vomiting</w:t>
            </w:r>
          </w:p>
          <w:p>
            <w:pPr>
              <w:pStyle w:val="BodyText"/>
            </w:pPr>
            <w:r>
              <w:rPr>
                <w:i/>
                <w:iCs/>
              </w:rPr>
              <w:t xml:space="preserve">Ask 'Do you feel sick to your stomach? Have you vomited?'</w:t>
            </w:r>
          </w:p>
        </w:tc>
        <w:tc>
          <w:tcPr/>
          <w:p>
            <w:pPr>
              <w:pStyle w:val="Compact"/>
            </w:pPr>
            <w:r>
              <w:rPr>
                <w:b/>
                <w:bCs/>
              </w:rPr>
              <w:t xml:space="preserve">Options:</w:t>
            </w:r>
          </w:p>
          <w:p>
            <w:pPr>
              <w:pStyle w:val="Compact"/>
              <w:numPr>
                <w:ilvl w:val="0"/>
                <w:numId w:val="1001"/>
              </w:numPr>
            </w:pPr>
            <w:r>
              <w:t xml:space="preserve">No nausea and no vomiting (0)</w:t>
            </w:r>
          </w:p>
          <w:p>
            <w:pPr>
              <w:pStyle w:val="Compact"/>
              <w:numPr>
                <w:ilvl w:val="0"/>
                <w:numId w:val="1001"/>
              </w:numPr>
            </w:pPr>
            <w:r>
              <w:t xml:space="preserve">Mild nausea and no vomiting (1)</w:t>
            </w:r>
          </w:p>
          <w:p>
            <w:pPr>
              <w:pStyle w:val="Compact"/>
              <w:numPr>
                <w:ilvl w:val="0"/>
                <w:numId w:val="1001"/>
              </w:numPr>
            </w:pPr>
            <w:r>
              <w:t xml:space="preserve">(More severe symptoms) (2)</w:t>
            </w:r>
          </w:p>
          <w:p>
            <w:pPr>
              <w:pStyle w:val="Compact"/>
              <w:numPr>
                <w:ilvl w:val="0"/>
                <w:numId w:val="1001"/>
              </w:numPr>
            </w:pPr>
            <w:r>
              <w:t xml:space="preserve">(More severe symptoms) (3)</w:t>
            </w:r>
          </w:p>
          <w:p>
            <w:pPr>
              <w:pStyle w:val="Compact"/>
              <w:numPr>
                <w:ilvl w:val="0"/>
                <w:numId w:val="1001"/>
              </w:numPr>
            </w:pPr>
            <w:r>
              <w:t xml:space="preserve">Intermittent nausea with dry heaves (4)</w:t>
            </w:r>
          </w:p>
          <w:p>
            <w:pPr>
              <w:pStyle w:val="Compact"/>
              <w:numPr>
                <w:ilvl w:val="0"/>
                <w:numId w:val="1001"/>
              </w:numPr>
            </w:pPr>
            <w:r>
              <w:t xml:space="preserve">(More severe symptoms) (5)</w:t>
            </w:r>
          </w:p>
          <w:p>
            <w:pPr>
              <w:pStyle w:val="Compact"/>
              <w:numPr>
                <w:ilvl w:val="0"/>
                <w:numId w:val="1001"/>
              </w:numPr>
            </w:pPr>
            <w:r>
              <w:t xml:space="preserve">(More severe symptoms) (6)</w:t>
            </w:r>
          </w:p>
          <w:p>
            <w:pPr>
              <w:pStyle w:val="Compact"/>
              <w:numPr>
                <w:ilvl w:val="0"/>
                <w:numId w:val="1001"/>
              </w:numPr>
            </w:pPr>
            <w:r>
              <w:t xml:space="preserve">Constant nausea, frequent dry heaves and vomiting (7)</w:t>
            </w:r>
          </w:p>
        </w:tc>
      </w:tr>
      <w:tr>
        <w:tc>
          <w:tcPr/>
          <w:p>
            <w:pPr>
              <w:pStyle w:val="FirstParagraph"/>
            </w:pPr>
            <w:r>
              <w:t xml:space="preserve">Tremor</w:t>
            </w:r>
          </w:p>
          <w:p>
            <w:pPr>
              <w:pStyle w:val="BodyText"/>
            </w:pPr>
            <w:r>
              <w:rPr>
                <w:i/>
                <w:iCs/>
              </w:rPr>
              <w:t xml:space="preserve">Arms extended and fingers spread apart</w:t>
            </w:r>
          </w:p>
        </w:tc>
        <w:tc>
          <w:tcPr/>
          <w:p>
            <w:pPr>
              <w:pStyle w:val="Compact"/>
            </w:pPr>
            <w:r>
              <w:rPr>
                <w:b/>
                <w:bCs/>
              </w:rPr>
              <w:t xml:space="preserve">Options:</w:t>
            </w:r>
          </w:p>
          <w:p>
            <w:pPr>
              <w:pStyle w:val="Compact"/>
              <w:numPr>
                <w:ilvl w:val="0"/>
                <w:numId w:val="1002"/>
              </w:numPr>
            </w:pPr>
            <w:r>
              <w:t xml:space="preserve">No tremor (0)</w:t>
            </w:r>
          </w:p>
          <w:p>
            <w:pPr>
              <w:pStyle w:val="Compact"/>
              <w:numPr>
                <w:ilvl w:val="0"/>
                <w:numId w:val="1002"/>
              </w:numPr>
            </w:pPr>
            <w:r>
              <w:t xml:space="preserve">Not visible, but can be felt fingertip to fingertip (1)</w:t>
            </w:r>
          </w:p>
          <w:p>
            <w:pPr>
              <w:pStyle w:val="Compact"/>
              <w:numPr>
                <w:ilvl w:val="0"/>
                <w:numId w:val="1002"/>
              </w:numPr>
            </w:pPr>
            <w:r>
              <w:t xml:space="preserve">(More severe symptoms) (2)</w:t>
            </w:r>
          </w:p>
          <w:p>
            <w:pPr>
              <w:pStyle w:val="Compact"/>
              <w:numPr>
                <w:ilvl w:val="0"/>
                <w:numId w:val="1002"/>
              </w:numPr>
            </w:pPr>
            <w:r>
              <w:t xml:space="preserve">(More severe symptoms) (3)</w:t>
            </w:r>
          </w:p>
          <w:p>
            <w:pPr>
              <w:pStyle w:val="Compact"/>
              <w:numPr>
                <w:ilvl w:val="0"/>
                <w:numId w:val="1002"/>
              </w:numPr>
            </w:pPr>
            <w:r>
              <w:t xml:space="preserve">Moderate, with patient's arms extended (4)</w:t>
            </w:r>
          </w:p>
          <w:p>
            <w:pPr>
              <w:pStyle w:val="Compact"/>
              <w:numPr>
                <w:ilvl w:val="0"/>
                <w:numId w:val="1002"/>
              </w:numPr>
            </w:pPr>
            <w:r>
              <w:t xml:space="preserve">(More severe symptoms) (5)</w:t>
            </w:r>
          </w:p>
          <w:p>
            <w:pPr>
              <w:pStyle w:val="Compact"/>
              <w:numPr>
                <w:ilvl w:val="0"/>
                <w:numId w:val="1002"/>
              </w:numPr>
            </w:pPr>
            <w:r>
              <w:t xml:space="preserve">(More severe symptoms) (6)</w:t>
            </w:r>
          </w:p>
          <w:p>
            <w:pPr>
              <w:pStyle w:val="Compact"/>
              <w:numPr>
                <w:ilvl w:val="0"/>
                <w:numId w:val="1002"/>
              </w:numPr>
            </w:pPr>
            <w:r>
              <w:t xml:space="preserve">Severe, even with arms not extended (7)</w:t>
            </w:r>
          </w:p>
        </w:tc>
      </w:tr>
      <w:tr>
        <w:tc>
          <w:tcPr/>
          <w:p>
            <w:pPr>
              <w:pStyle w:val="FirstParagraph"/>
            </w:pPr>
            <w:r>
              <w:t xml:space="preserve">Paroxysmal sweats</w:t>
            </w:r>
          </w:p>
          <w:p>
            <w:pPr>
              <w:pStyle w:val="BodyText"/>
            </w:pPr>
          </w:p>
        </w:tc>
        <w:tc>
          <w:tcPr/>
          <w:p>
            <w:pPr>
              <w:pStyle w:val="Compact"/>
            </w:pPr>
            <w:r>
              <w:rPr>
                <w:b/>
                <w:bCs/>
              </w:rPr>
              <w:t xml:space="preserve">Options:</w:t>
            </w:r>
          </w:p>
          <w:p>
            <w:pPr>
              <w:pStyle w:val="Compact"/>
              <w:numPr>
                <w:ilvl w:val="0"/>
                <w:numId w:val="1003"/>
              </w:numPr>
            </w:pPr>
            <w:r>
              <w:t xml:space="preserve">No sweat visible (0)</w:t>
            </w:r>
          </w:p>
          <w:p>
            <w:pPr>
              <w:pStyle w:val="Compact"/>
              <w:numPr>
                <w:ilvl w:val="0"/>
                <w:numId w:val="1003"/>
              </w:numPr>
            </w:pPr>
            <w:r>
              <w:t xml:space="preserve">Barely perceptible sweating, palms moist (1)</w:t>
            </w:r>
          </w:p>
          <w:p>
            <w:pPr>
              <w:pStyle w:val="Compact"/>
              <w:numPr>
                <w:ilvl w:val="0"/>
                <w:numId w:val="1003"/>
              </w:numPr>
            </w:pPr>
            <w:r>
              <w:t xml:space="preserve">(More severe symptoms) (2)</w:t>
            </w:r>
          </w:p>
          <w:p>
            <w:pPr>
              <w:pStyle w:val="Compact"/>
              <w:numPr>
                <w:ilvl w:val="0"/>
                <w:numId w:val="1003"/>
              </w:numPr>
            </w:pPr>
            <w:r>
              <w:t xml:space="preserve">(More severe symptoms) (3)</w:t>
            </w:r>
          </w:p>
          <w:p>
            <w:pPr>
              <w:pStyle w:val="Compact"/>
              <w:numPr>
                <w:ilvl w:val="0"/>
                <w:numId w:val="1003"/>
              </w:numPr>
            </w:pPr>
            <w:r>
              <w:t xml:space="preserve">Beads of sweat obvious on forehead (4)</w:t>
            </w:r>
          </w:p>
          <w:p>
            <w:pPr>
              <w:pStyle w:val="Compact"/>
              <w:numPr>
                <w:ilvl w:val="0"/>
                <w:numId w:val="1003"/>
              </w:numPr>
            </w:pPr>
            <w:r>
              <w:t xml:space="preserve">(More severe symptoms) (5)</w:t>
            </w:r>
          </w:p>
          <w:p>
            <w:pPr>
              <w:pStyle w:val="Compact"/>
              <w:numPr>
                <w:ilvl w:val="0"/>
                <w:numId w:val="1003"/>
              </w:numPr>
            </w:pPr>
            <w:r>
              <w:t xml:space="preserve">(More severe symptoms) (6)</w:t>
            </w:r>
          </w:p>
          <w:p>
            <w:pPr>
              <w:pStyle w:val="Compact"/>
              <w:numPr>
                <w:ilvl w:val="0"/>
                <w:numId w:val="1003"/>
              </w:numPr>
            </w:pPr>
            <w:r>
              <w:t xml:space="preserve">Drenching sweats (7)</w:t>
            </w:r>
          </w:p>
        </w:tc>
      </w:tr>
      <w:tr>
        <w:tc>
          <w:tcPr/>
          <w:p>
            <w:pPr>
              <w:pStyle w:val="FirstParagraph"/>
            </w:pPr>
            <w:r>
              <w:t xml:space="preserve">Anxiety</w:t>
            </w:r>
          </w:p>
          <w:p>
            <w:pPr>
              <w:pStyle w:val="BodyText"/>
            </w:pPr>
            <w:r>
              <w:rPr>
                <w:i/>
                <w:iCs/>
              </w:rPr>
              <w:t xml:space="preserve">Ask, 'Do you feel nervous?'</w:t>
            </w:r>
          </w:p>
        </w:tc>
        <w:tc>
          <w:tcPr/>
          <w:p>
            <w:pPr>
              <w:pStyle w:val="Compact"/>
            </w:pPr>
            <w:r>
              <w:rPr>
                <w:b/>
                <w:bCs/>
              </w:rPr>
              <w:t xml:space="preserve">Options:</w:t>
            </w:r>
          </w:p>
          <w:p>
            <w:pPr>
              <w:pStyle w:val="Compact"/>
              <w:numPr>
                <w:ilvl w:val="0"/>
                <w:numId w:val="1004"/>
              </w:numPr>
            </w:pPr>
            <w:r>
              <w:t xml:space="preserve">No anxiety, at ease (0)</w:t>
            </w:r>
          </w:p>
          <w:p>
            <w:pPr>
              <w:pStyle w:val="Compact"/>
              <w:numPr>
                <w:ilvl w:val="0"/>
                <w:numId w:val="1004"/>
              </w:numPr>
            </w:pPr>
            <w:r>
              <w:t xml:space="preserve">Mildly anxious (1)</w:t>
            </w:r>
          </w:p>
          <w:p>
            <w:pPr>
              <w:pStyle w:val="Compact"/>
              <w:numPr>
                <w:ilvl w:val="0"/>
                <w:numId w:val="1004"/>
              </w:numPr>
            </w:pPr>
            <w:r>
              <w:t xml:space="preserve">(More severe symptoms) (2)</w:t>
            </w:r>
          </w:p>
          <w:p>
            <w:pPr>
              <w:pStyle w:val="Compact"/>
              <w:numPr>
                <w:ilvl w:val="0"/>
                <w:numId w:val="1004"/>
              </w:numPr>
            </w:pPr>
            <w:r>
              <w:t xml:space="preserve">(More severe symptoms) (3)</w:t>
            </w:r>
          </w:p>
          <w:p>
            <w:pPr>
              <w:pStyle w:val="Compact"/>
              <w:numPr>
                <w:ilvl w:val="0"/>
                <w:numId w:val="1004"/>
              </w:numPr>
            </w:pPr>
            <w:r>
              <w:t xml:space="preserve">Moderately anxious, or guarded, so anxiety is inferred (4)</w:t>
            </w:r>
          </w:p>
          <w:p>
            <w:pPr>
              <w:pStyle w:val="Compact"/>
              <w:numPr>
                <w:ilvl w:val="0"/>
                <w:numId w:val="1004"/>
              </w:numPr>
            </w:pPr>
            <w:r>
              <w:t xml:space="preserve">(More severe symptoms) (5)</w:t>
            </w:r>
          </w:p>
          <w:p>
            <w:pPr>
              <w:pStyle w:val="Compact"/>
              <w:numPr>
                <w:ilvl w:val="0"/>
                <w:numId w:val="1004"/>
              </w:numPr>
            </w:pPr>
            <w:r>
              <w:t xml:space="preserve">(More severe symptoms) (6)</w:t>
            </w:r>
          </w:p>
          <w:p>
            <w:pPr>
              <w:pStyle w:val="Compact"/>
              <w:numPr>
                <w:ilvl w:val="0"/>
                <w:numId w:val="1004"/>
              </w:numPr>
            </w:pPr>
            <w:r>
              <w:t xml:space="preserve">Equivalent to acute panic states as seen in severe delirium or acute schizophrenic reactions (7)</w:t>
            </w:r>
          </w:p>
        </w:tc>
      </w:tr>
      <w:tr>
        <w:tc>
          <w:tcPr/>
          <w:p>
            <w:pPr>
              <w:pStyle w:val="FirstParagraph"/>
            </w:pPr>
            <w:r>
              <w:t xml:space="preserve">Agitation</w:t>
            </w:r>
          </w:p>
          <w:p>
            <w:pPr>
              <w:pStyle w:val="BodyText"/>
            </w:pPr>
          </w:p>
        </w:tc>
        <w:tc>
          <w:tcPr/>
          <w:p>
            <w:pPr>
              <w:pStyle w:val="Compact"/>
            </w:pPr>
            <w:r>
              <w:rPr>
                <w:b/>
                <w:bCs/>
              </w:rPr>
              <w:t xml:space="preserve">Options:</w:t>
            </w:r>
          </w:p>
          <w:p>
            <w:pPr>
              <w:pStyle w:val="Compact"/>
              <w:numPr>
                <w:ilvl w:val="0"/>
                <w:numId w:val="1005"/>
              </w:numPr>
            </w:pPr>
            <w:r>
              <w:t xml:space="preserve">Normal activity (0)</w:t>
            </w:r>
          </w:p>
          <w:p>
            <w:pPr>
              <w:pStyle w:val="Compact"/>
              <w:numPr>
                <w:ilvl w:val="0"/>
                <w:numId w:val="1005"/>
              </w:numPr>
            </w:pPr>
            <w:r>
              <w:t xml:space="preserve">Somewhat more activity than normal activty (1)</w:t>
            </w:r>
          </w:p>
          <w:p>
            <w:pPr>
              <w:pStyle w:val="Compact"/>
              <w:numPr>
                <w:ilvl w:val="0"/>
                <w:numId w:val="1005"/>
              </w:numPr>
            </w:pPr>
            <w:r>
              <w:t xml:space="preserve">(More severe symptoms) (2)</w:t>
            </w:r>
          </w:p>
          <w:p>
            <w:pPr>
              <w:pStyle w:val="Compact"/>
              <w:numPr>
                <w:ilvl w:val="0"/>
                <w:numId w:val="1005"/>
              </w:numPr>
            </w:pPr>
            <w:r>
              <w:t xml:space="preserve">(More severe symptoms) (3)</w:t>
            </w:r>
          </w:p>
          <w:p>
            <w:pPr>
              <w:pStyle w:val="Compact"/>
              <w:numPr>
                <w:ilvl w:val="0"/>
                <w:numId w:val="1005"/>
              </w:numPr>
            </w:pPr>
            <w:r>
              <w:t xml:space="preserve">Moderately fidgety and restless (4)</w:t>
            </w:r>
          </w:p>
          <w:p>
            <w:pPr>
              <w:pStyle w:val="Compact"/>
              <w:numPr>
                <w:ilvl w:val="0"/>
                <w:numId w:val="1005"/>
              </w:numPr>
            </w:pPr>
            <w:r>
              <w:t xml:space="preserve">(More severe symptoms) (5)</w:t>
            </w:r>
          </w:p>
          <w:p>
            <w:pPr>
              <w:pStyle w:val="Compact"/>
              <w:numPr>
                <w:ilvl w:val="0"/>
                <w:numId w:val="1005"/>
              </w:numPr>
            </w:pPr>
            <w:r>
              <w:t xml:space="preserve">(More severe symptoms) (6)</w:t>
            </w:r>
          </w:p>
          <w:p>
            <w:pPr>
              <w:pStyle w:val="Compact"/>
              <w:numPr>
                <w:ilvl w:val="0"/>
                <w:numId w:val="1005"/>
              </w:numPr>
            </w:pPr>
            <w:r>
              <w:t xml:space="preserve">Paces back and forth during most of the interview, or constantly thrashes about (7)</w:t>
            </w:r>
          </w:p>
        </w:tc>
      </w:tr>
      <w:tr>
        <w:tc>
          <w:tcPr/>
          <w:p>
            <w:pPr>
              <w:pStyle w:val="FirstParagraph"/>
            </w:pPr>
            <w:r>
              <w:t xml:space="preserve">Tactile disturbances</w:t>
            </w:r>
          </w:p>
          <w:p>
            <w:pPr>
              <w:pStyle w:val="BodyText"/>
            </w:pPr>
            <w:r>
              <w:rPr>
                <w:i/>
                <w:iCs/>
              </w:rPr>
              <w:t xml:space="preserve">Ask, 'Have you any itching, pins and needles sensations, any burning, any numbness, or do you feel bugs crawling on or under your skin?'</w:t>
            </w:r>
          </w:p>
        </w:tc>
        <w:tc>
          <w:tcPr/>
          <w:p>
            <w:pPr>
              <w:pStyle w:val="Compact"/>
            </w:pPr>
            <w:r>
              <w:rPr>
                <w:b/>
                <w:bCs/>
              </w:rPr>
              <w:t xml:space="preserve">Options:</w:t>
            </w:r>
          </w:p>
          <w:p>
            <w:pPr>
              <w:pStyle w:val="Compact"/>
              <w:numPr>
                <w:ilvl w:val="0"/>
                <w:numId w:val="1006"/>
              </w:numPr>
            </w:pPr>
            <w:r>
              <w:t xml:space="preserve">None (0)</w:t>
            </w:r>
          </w:p>
          <w:p>
            <w:pPr>
              <w:pStyle w:val="Compact"/>
              <w:numPr>
                <w:ilvl w:val="0"/>
                <w:numId w:val="1006"/>
              </w:numPr>
            </w:pPr>
            <w:r>
              <w:t xml:space="preserve">Very mild itching, pin and needles, burning, or numbness (1)</w:t>
            </w:r>
          </w:p>
          <w:p>
            <w:pPr>
              <w:pStyle w:val="Compact"/>
              <w:numPr>
                <w:ilvl w:val="0"/>
                <w:numId w:val="1006"/>
              </w:numPr>
            </w:pPr>
            <w:r>
              <w:t xml:space="preserve">Mild itching, pin and needles, burning, or numbness (2)</w:t>
            </w:r>
          </w:p>
          <w:p>
            <w:pPr>
              <w:pStyle w:val="Compact"/>
              <w:numPr>
                <w:ilvl w:val="0"/>
                <w:numId w:val="1006"/>
              </w:numPr>
            </w:pPr>
            <w:r>
              <w:t xml:space="preserve">Moderate itching, pin and needles, burning, or numbness (3)</w:t>
            </w:r>
          </w:p>
          <w:p>
            <w:pPr>
              <w:pStyle w:val="Compact"/>
              <w:numPr>
                <w:ilvl w:val="0"/>
                <w:numId w:val="1006"/>
              </w:numPr>
            </w:pPr>
            <w:r>
              <w:t xml:space="preserve">Moderately severe hallucinations (4)</w:t>
            </w:r>
          </w:p>
          <w:p>
            <w:pPr>
              <w:pStyle w:val="Compact"/>
              <w:numPr>
                <w:ilvl w:val="0"/>
                <w:numId w:val="1006"/>
              </w:numPr>
            </w:pPr>
            <w:r>
              <w:t xml:space="preserve">Severe hallucinations (5)</w:t>
            </w:r>
          </w:p>
          <w:p>
            <w:pPr>
              <w:pStyle w:val="Compact"/>
              <w:numPr>
                <w:ilvl w:val="0"/>
                <w:numId w:val="1006"/>
              </w:numPr>
            </w:pPr>
            <w:r>
              <w:t xml:space="preserve">Extremely severe hallucinations (6)</w:t>
            </w:r>
          </w:p>
          <w:p>
            <w:pPr>
              <w:pStyle w:val="Compact"/>
              <w:numPr>
                <w:ilvl w:val="0"/>
                <w:numId w:val="1006"/>
              </w:numPr>
            </w:pPr>
            <w:r>
              <w:t xml:space="preserve">Continuous hallucinations (7)</w:t>
            </w:r>
          </w:p>
        </w:tc>
      </w:tr>
      <w:tr>
        <w:tc>
          <w:tcPr/>
          <w:p>
            <w:pPr>
              <w:pStyle w:val="FirstParagraph"/>
            </w:pPr>
            <w:r>
              <w:t xml:space="preserve">Auditory disturbances</w:t>
            </w:r>
          </w:p>
          <w:p>
            <w:pPr>
              <w:pStyle w:val="BodyText"/>
            </w:pPr>
            <w:r>
              <w:rPr>
                <w:i/>
                <w:iCs/>
              </w:rPr>
              <w:t xml:space="preserve">Ask, 'Are you more aware of sounds around you? Are they harsh? Do they frighten you? Are you hearing anything that is disturbing to you? Are you hearing things you know are not there?'</w:t>
            </w:r>
          </w:p>
        </w:tc>
        <w:tc>
          <w:tcPr/>
          <w:p>
            <w:pPr>
              <w:pStyle w:val="Compact"/>
            </w:pPr>
            <w:r>
              <w:rPr>
                <w:b/>
                <w:bCs/>
              </w:rPr>
              <w:t xml:space="preserve">Options:</w:t>
            </w:r>
          </w:p>
          <w:p>
            <w:pPr>
              <w:pStyle w:val="Compact"/>
              <w:numPr>
                <w:ilvl w:val="0"/>
                <w:numId w:val="1007"/>
              </w:numPr>
            </w:pPr>
            <w:r>
              <w:t xml:space="preserve">Not present (0)</w:t>
            </w:r>
          </w:p>
          <w:p>
            <w:pPr>
              <w:pStyle w:val="Compact"/>
              <w:numPr>
                <w:ilvl w:val="0"/>
                <w:numId w:val="1007"/>
              </w:numPr>
            </w:pPr>
            <w:r>
              <w:t xml:space="preserve">Very mild harshness or ability to frighten (1)</w:t>
            </w:r>
          </w:p>
          <w:p>
            <w:pPr>
              <w:pStyle w:val="Compact"/>
              <w:numPr>
                <w:ilvl w:val="0"/>
                <w:numId w:val="1007"/>
              </w:numPr>
            </w:pPr>
            <w:r>
              <w:t xml:space="preserve">Mild harshness or ability to frighten (2)</w:t>
            </w:r>
          </w:p>
          <w:p>
            <w:pPr>
              <w:pStyle w:val="Compact"/>
              <w:numPr>
                <w:ilvl w:val="0"/>
                <w:numId w:val="1007"/>
              </w:numPr>
            </w:pPr>
            <w:r>
              <w:t xml:space="preserve">Moderate harshness or ability to frighten (3)</w:t>
            </w:r>
          </w:p>
          <w:p>
            <w:pPr>
              <w:pStyle w:val="Compact"/>
              <w:numPr>
                <w:ilvl w:val="0"/>
                <w:numId w:val="1007"/>
              </w:numPr>
            </w:pPr>
            <w:r>
              <w:t xml:space="preserve">Moderately severe hallucinations (4)</w:t>
            </w:r>
          </w:p>
          <w:p>
            <w:pPr>
              <w:pStyle w:val="Compact"/>
              <w:numPr>
                <w:ilvl w:val="0"/>
                <w:numId w:val="1007"/>
              </w:numPr>
            </w:pPr>
            <w:r>
              <w:t xml:space="preserve">Severe hallucinations (5)</w:t>
            </w:r>
          </w:p>
          <w:p>
            <w:pPr>
              <w:pStyle w:val="Compact"/>
              <w:numPr>
                <w:ilvl w:val="0"/>
                <w:numId w:val="1007"/>
              </w:numPr>
            </w:pPr>
            <w:r>
              <w:t xml:space="preserve">Extremely severe hallucinations (6)</w:t>
            </w:r>
          </w:p>
          <w:p>
            <w:pPr>
              <w:pStyle w:val="Compact"/>
              <w:numPr>
                <w:ilvl w:val="0"/>
                <w:numId w:val="1007"/>
              </w:numPr>
            </w:pPr>
            <w:r>
              <w:t xml:space="preserve">Continuous hallucinations (7)</w:t>
            </w:r>
          </w:p>
        </w:tc>
      </w:tr>
      <w:tr>
        <w:tc>
          <w:tcPr/>
          <w:p>
            <w:pPr>
              <w:pStyle w:val="FirstParagraph"/>
            </w:pPr>
            <w:r>
              <w:t xml:space="preserve">Visual disturbances</w:t>
            </w:r>
          </w:p>
          <w:p>
            <w:pPr>
              <w:pStyle w:val="BodyText"/>
            </w:pPr>
            <w:r>
              <w:rPr>
                <w:i/>
                <w:iCs/>
              </w:rPr>
              <w:t xml:space="preserve">Ask 'Does the light appear to be too bright? Is its color different? Does it hurt your eyes? Are you seeing anything that is disturbing to you? Are you seeing things you know are not there?'</w:t>
            </w:r>
          </w:p>
        </w:tc>
        <w:tc>
          <w:tcPr/>
          <w:p>
            <w:pPr>
              <w:pStyle w:val="Compact"/>
            </w:pPr>
            <w:r>
              <w:rPr>
                <w:b/>
                <w:bCs/>
              </w:rPr>
              <w:t xml:space="preserve">Options:</w:t>
            </w:r>
          </w:p>
          <w:p>
            <w:pPr>
              <w:pStyle w:val="Compact"/>
              <w:numPr>
                <w:ilvl w:val="0"/>
                <w:numId w:val="1008"/>
              </w:numPr>
            </w:pPr>
            <w:r>
              <w:t xml:space="preserve">Not present (0)</w:t>
            </w:r>
          </w:p>
          <w:p>
            <w:pPr>
              <w:pStyle w:val="Compact"/>
              <w:numPr>
                <w:ilvl w:val="0"/>
                <w:numId w:val="1008"/>
              </w:numPr>
            </w:pPr>
            <w:r>
              <w:t xml:space="preserve">Very mild sensitivity (1)</w:t>
            </w:r>
          </w:p>
          <w:p>
            <w:pPr>
              <w:pStyle w:val="Compact"/>
              <w:numPr>
                <w:ilvl w:val="0"/>
                <w:numId w:val="1008"/>
              </w:numPr>
            </w:pPr>
            <w:r>
              <w:t xml:space="preserve">Mild sensitivity (2)</w:t>
            </w:r>
          </w:p>
          <w:p>
            <w:pPr>
              <w:pStyle w:val="Compact"/>
              <w:numPr>
                <w:ilvl w:val="0"/>
                <w:numId w:val="1008"/>
              </w:numPr>
            </w:pPr>
            <w:r>
              <w:t xml:space="preserve">Moderate sensitivity (3)</w:t>
            </w:r>
          </w:p>
          <w:p>
            <w:pPr>
              <w:pStyle w:val="Compact"/>
              <w:numPr>
                <w:ilvl w:val="0"/>
                <w:numId w:val="1008"/>
              </w:numPr>
            </w:pPr>
            <w:r>
              <w:t xml:space="preserve">Moderately severe hallucinations (4)</w:t>
            </w:r>
          </w:p>
          <w:p>
            <w:pPr>
              <w:pStyle w:val="Compact"/>
              <w:numPr>
                <w:ilvl w:val="0"/>
                <w:numId w:val="1008"/>
              </w:numPr>
            </w:pPr>
            <w:r>
              <w:t xml:space="preserve">Severe hallucinations (5)</w:t>
            </w:r>
          </w:p>
          <w:p>
            <w:pPr>
              <w:pStyle w:val="Compact"/>
              <w:numPr>
                <w:ilvl w:val="0"/>
                <w:numId w:val="1008"/>
              </w:numPr>
            </w:pPr>
            <w:r>
              <w:t xml:space="preserve">Extremely severe hallucinations (6)</w:t>
            </w:r>
          </w:p>
          <w:p>
            <w:pPr>
              <w:pStyle w:val="Compact"/>
              <w:numPr>
                <w:ilvl w:val="0"/>
                <w:numId w:val="1008"/>
              </w:numPr>
            </w:pPr>
            <w:r>
              <w:t xml:space="preserve">Continuous hallucinations (7)</w:t>
            </w:r>
          </w:p>
        </w:tc>
      </w:tr>
      <w:tr>
        <w:tc>
          <w:tcPr/>
          <w:p>
            <w:pPr>
              <w:pStyle w:val="FirstParagraph"/>
            </w:pPr>
            <w:r>
              <w:t xml:space="preserve">Headache/fullness in head</w:t>
            </w:r>
          </w:p>
          <w:p>
            <w:pPr>
              <w:pStyle w:val="BodyText"/>
            </w:pPr>
            <w:r>
              <w:rPr>
                <w:i/>
                <w:iCs/>
              </w:rPr>
              <w:t xml:space="preserve">Ask 'Does your head feel different? Does it feel like there is a band around your head?' Do not rate for dizziness or lightheadedness. Otherwise, rate 'severity.'</w:t>
            </w:r>
          </w:p>
        </w:tc>
        <w:tc>
          <w:tcPr/>
          <w:p>
            <w:pPr>
              <w:pStyle w:val="Compact"/>
            </w:pPr>
            <w:r>
              <w:rPr>
                <w:b/>
                <w:bCs/>
              </w:rPr>
              <w:t xml:space="preserve">Options:</w:t>
            </w:r>
          </w:p>
          <w:p>
            <w:pPr>
              <w:pStyle w:val="Compact"/>
              <w:numPr>
                <w:ilvl w:val="0"/>
                <w:numId w:val="1009"/>
              </w:numPr>
            </w:pPr>
            <w:r>
              <w:t xml:space="preserve">Not Present (0)</w:t>
            </w:r>
          </w:p>
          <w:p>
            <w:pPr>
              <w:pStyle w:val="Compact"/>
              <w:numPr>
                <w:ilvl w:val="0"/>
                <w:numId w:val="1009"/>
              </w:numPr>
            </w:pPr>
            <w:r>
              <w:t xml:space="preserve">Very mild (1)</w:t>
            </w:r>
          </w:p>
          <w:p>
            <w:pPr>
              <w:pStyle w:val="Compact"/>
              <w:numPr>
                <w:ilvl w:val="0"/>
                <w:numId w:val="1009"/>
              </w:numPr>
            </w:pPr>
            <w:r>
              <w:t xml:space="preserve">Mild (2)</w:t>
            </w:r>
          </w:p>
          <w:p>
            <w:pPr>
              <w:pStyle w:val="Compact"/>
              <w:numPr>
                <w:ilvl w:val="0"/>
                <w:numId w:val="1009"/>
              </w:numPr>
            </w:pPr>
            <w:r>
              <w:t xml:space="preserve">Moderate (3)</w:t>
            </w:r>
          </w:p>
          <w:p>
            <w:pPr>
              <w:pStyle w:val="Compact"/>
              <w:numPr>
                <w:ilvl w:val="0"/>
                <w:numId w:val="1009"/>
              </w:numPr>
            </w:pPr>
            <w:r>
              <w:t xml:space="preserve">Moderately severe (4)</w:t>
            </w:r>
          </w:p>
          <w:p>
            <w:pPr>
              <w:pStyle w:val="Compact"/>
              <w:numPr>
                <w:ilvl w:val="0"/>
                <w:numId w:val="1009"/>
              </w:numPr>
            </w:pPr>
            <w:r>
              <w:t xml:space="preserve">Severe (5)</w:t>
            </w:r>
          </w:p>
          <w:p>
            <w:pPr>
              <w:pStyle w:val="Compact"/>
              <w:numPr>
                <w:ilvl w:val="0"/>
                <w:numId w:val="1009"/>
              </w:numPr>
            </w:pPr>
            <w:r>
              <w:t xml:space="preserve">Very severe (6)</w:t>
            </w:r>
          </w:p>
          <w:p>
            <w:pPr>
              <w:pStyle w:val="Compact"/>
              <w:numPr>
                <w:ilvl w:val="0"/>
                <w:numId w:val="1009"/>
              </w:numPr>
            </w:pPr>
            <w:r>
              <w:t xml:space="preserve">Extremely severe (7)</w:t>
            </w:r>
          </w:p>
        </w:tc>
      </w:tr>
      <w:tr>
        <w:tc>
          <w:tcPr/>
          <w:p>
            <w:pPr>
              <w:pStyle w:val="FirstParagraph"/>
            </w:pPr>
            <w:r>
              <w:t xml:space="preserve">Orientation/clouding of sensorium</w:t>
            </w:r>
          </w:p>
          <w:p>
            <w:pPr>
              <w:pStyle w:val="BodyText"/>
            </w:pPr>
            <w:r>
              <w:rPr>
                <w:i/>
                <w:iCs/>
              </w:rPr>
              <w:t xml:space="preserve">Ask 'What day is this? Where are you? Who am I?'</w:t>
            </w:r>
          </w:p>
        </w:tc>
        <w:tc>
          <w:tcPr/>
          <w:p>
            <w:pPr>
              <w:pStyle w:val="Compact"/>
            </w:pPr>
            <w:r>
              <w:rPr>
                <w:b/>
                <w:bCs/>
              </w:rPr>
              <w:t xml:space="preserve">Options:</w:t>
            </w:r>
          </w:p>
          <w:p>
            <w:pPr>
              <w:pStyle w:val="Compact"/>
              <w:numPr>
                <w:ilvl w:val="0"/>
                <w:numId w:val="1010"/>
              </w:numPr>
            </w:pPr>
            <w:r>
              <w:t xml:space="preserve">Oriented, can do serial additions (0)</w:t>
            </w:r>
          </w:p>
          <w:p>
            <w:pPr>
              <w:pStyle w:val="Compact"/>
              <w:numPr>
                <w:ilvl w:val="0"/>
                <w:numId w:val="1010"/>
              </w:numPr>
            </w:pPr>
            <w:r>
              <w:t xml:space="preserve">Can't do serial additions or is uncertain about date (1)</w:t>
            </w:r>
          </w:p>
          <w:p>
            <w:pPr>
              <w:pStyle w:val="Compact"/>
              <w:numPr>
                <w:ilvl w:val="0"/>
                <w:numId w:val="1010"/>
              </w:numPr>
            </w:pPr>
            <w:r>
              <w:t xml:space="preserve">Disoriented for date by no more than 2 calendar days (2)</w:t>
            </w:r>
          </w:p>
          <w:p>
            <w:pPr>
              <w:pStyle w:val="Compact"/>
              <w:numPr>
                <w:ilvl w:val="0"/>
                <w:numId w:val="1010"/>
              </w:numPr>
            </w:pPr>
            <w:r>
              <w:t xml:space="preserve">Disoriented for date by more than 2 calendar days (3)</w:t>
            </w:r>
          </w:p>
          <w:p>
            <w:pPr>
              <w:pStyle w:val="Compact"/>
              <w:numPr>
                <w:ilvl w:val="0"/>
                <w:numId w:val="1010"/>
              </w:numPr>
            </w:pPr>
            <w:r>
              <w:t xml:space="preserve">Disoriented to place or person (4)</w:t>
            </w:r>
          </w:p>
        </w:tc>
      </w:tr>
    </w:tbl>
    <w:bookmarkEnd w:id="20"/>
    <w:bookmarkStart w:id="21" w:name="formula"/>
    <w:p>
      <w:pPr>
        <w:pStyle w:val="Heading2"/>
      </w:pPr>
      <w:r>
        <w:t xml:space="preserve">FORMULA</w:t>
      </w:r>
    </w:p>
    <w:p>
      <w:pPr>
        <w:pStyle w:val="FirstParagraph"/>
      </w:pPr>
      <w:r>
        <w:t xml:space="preserve">Addition of the selected points.</w:t>
      </w:r>
    </w:p>
    <w:bookmarkEnd w:id="21"/>
    <w:bookmarkStart w:id="22" w:name="facts-figures"/>
    <w:p>
      <w:pPr>
        <w:pStyle w:val="Heading2"/>
      </w:pPr>
      <w:r>
        <w:t xml:space="preserve">FACTS &amp; FIGURES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Score</w:t>
            </w:r>
          </w:p>
        </w:tc>
        <w:tc>
          <w:tcPr/>
          <w:p>
            <w:pPr>
              <w:pStyle w:val="BodyText"/>
            </w:pPr>
            <w:r>
              <w:t xml:space="preserve">Withdrawal Level</w:t>
            </w:r>
          </w:p>
        </w:tc>
      </w:tr>
      <w:tr>
        <w:tc>
          <w:tcPr/>
          <w:p>
            <w:pPr>
              <w:pStyle w:val="Compact"/>
              <w:jc w:val="left"/>
            </w:pPr>
            <w:r>
              <w:t xml:space="preserve">≤8</w:t>
            </w:r>
          </w:p>
        </w:tc>
        <w:tc>
          <w:tcPr/>
          <w:p>
            <w:pPr>
              <w:pStyle w:val="BodyText"/>
            </w:pPr>
            <w:r>
              <w:t xml:space="preserve">Absent or minimal withdrawal</w:t>
            </w:r>
          </w:p>
        </w:tc>
      </w:tr>
      <w:tr>
        <w:tc>
          <w:tcPr/>
          <w:p>
            <w:pPr>
              <w:pStyle w:val="Compact"/>
              <w:jc w:val="left"/>
            </w:pPr>
            <w:r>
              <w:t xml:space="preserve">9-19</w:t>
            </w:r>
          </w:p>
        </w:tc>
        <w:tc>
          <w:tcPr/>
          <w:p>
            <w:pPr>
              <w:pStyle w:val="BodyText"/>
            </w:pPr>
            <w:r>
              <w:t xml:space="preserve">Mild to moderate withdrawal</w:t>
            </w:r>
          </w:p>
        </w:tc>
      </w:tr>
      <w:tr>
        <w:tc>
          <w:tcPr/>
          <w:p>
            <w:pPr>
              <w:pStyle w:val="Compact"/>
              <w:jc w:val="left"/>
            </w:pPr>
            <w:r>
              <w:t xml:space="preserve">≥20</w:t>
            </w:r>
          </w:p>
        </w:tc>
        <w:tc>
          <w:tcPr/>
          <w:p>
            <w:pPr>
              <w:pStyle w:val="BodyText"/>
            </w:pPr>
            <w:r>
              <w:t xml:space="preserve">Severe withdrawal</w:t>
            </w:r>
          </w:p>
        </w:tc>
      </w:tr>
    </w:tbl>
    <w:bookmarkEnd w:id="22"/>
    <w:bookmarkStart w:id="32" w:name="evidence-appraisal"/>
    <w:p>
      <w:pPr>
        <w:pStyle w:val="Heading2"/>
      </w:pPr>
      <w:r>
        <w:t xml:space="preserve">EVIDENCE APPRAISAL</w:t>
      </w:r>
    </w:p>
    <w:p>
      <w:pPr>
        <w:pStyle w:val="FirstParagraph"/>
      </w:pPr>
      <w:r>
        <w:t xml:space="preserve">Multiple randomized trials and observational studies support use of symptom-triggered treatment (using CIWA-Ar) over fixed-schedule treatment (in which benzodiazepines are given at fixed intervals) or vitals-triggered treatment.</w:t>
      </w:r>
    </w:p>
    <w:p>
      <w:pPr>
        <w:pStyle w:val="BodyText"/>
      </w:pPr>
      <w:r>
        <w:t xml:space="preserve">Superior clinical endpoints include:</w:t>
      </w:r>
    </w:p>
    <w:p>
      <w:pPr>
        <w:numPr>
          <w:ilvl w:val="0"/>
          <w:numId w:val="1011"/>
        </w:numPr>
      </w:pPr>
      <w:r>
        <w:t xml:space="preserve">Decreased frequency of oversedation in patients with milder alcohol withdrawal.</w:t>
      </w:r>
    </w:p>
    <w:p>
      <w:pPr>
        <w:numPr>
          <w:ilvl w:val="0"/>
          <w:numId w:val="1011"/>
        </w:numPr>
      </w:pPr>
      <w:r>
        <w:t xml:space="preserve">Decreased frequency of under-treatment in patients with greater severity of withdrawal.</w:t>
      </w:r>
    </w:p>
    <w:p>
      <w:pPr>
        <w:numPr>
          <w:ilvl w:val="0"/>
          <w:numId w:val="1011"/>
        </w:numPr>
      </w:pPr>
      <w:r>
        <w:t xml:space="preserve">Shorter periods of hospitalization.</w:t>
      </w:r>
    </w:p>
    <w:p>
      <w:pPr>
        <w:numPr>
          <w:ilvl w:val="0"/>
          <w:numId w:val="1011"/>
        </w:numPr>
      </w:pPr>
      <w:r>
        <w:t xml:space="preserve">Lower incidence of delirium tremens (</w:t>
      </w:r>
      <w:hyperlink r:id="rId23">
        <w:r>
          <w:rPr>
            <w:rStyle w:val="Hyperlink"/>
          </w:rPr>
          <w:t xml:space="preserve">Wartenburg 1990</w:t>
        </w:r>
      </w:hyperlink>
      <w:r>
        <w:t xml:space="preserve">,</w:t>
      </w:r>
      <w:r>
        <w:t xml:space="preserve"> </w:t>
      </w:r>
      <w:hyperlink r:id="rId24">
        <w:r>
          <w:rPr>
            <w:rStyle w:val="Hyperlink"/>
          </w:rPr>
          <w:t xml:space="preserve">Saitz 1994</w:t>
        </w:r>
      </w:hyperlink>
      <w:r>
        <w:t xml:space="preserve">,</w:t>
      </w:r>
      <w:r>
        <w:t xml:space="preserve"> </w:t>
      </w:r>
      <w:hyperlink r:id="rId25">
        <w:r>
          <w:rPr>
            <w:rStyle w:val="Hyperlink"/>
          </w:rPr>
          <w:t xml:space="preserve">Mayo-Smith 1997</w:t>
        </w:r>
      </w:hyperlink>
      <w:r>
        <w:t xml:space="preserve">,</w:t>
      </w:r>
      <w:r>
        <w:t xml:space="preserve"> </w:t>
      </w:r>
      <w:hyperlink r:id="rId26">
        <w:r>
          <w:rPr>
            <w:rStyle w:val="Hyperlink"/>
          </w:rPr>
          <w:t xml:space="preserve">Reoux 2000</w:t>
        </w:r>
      </w:hyperlink>
      <w:r>
        <w:t xml:space="preserve">,</w:t>
      </w:r>
      <w:r>
        <w:t xml:space="preserve"> </w:t>
      </w:r>
      <w:hyperlink r:id="rId27">
        <w:r>
          <w:rPr>
            <w:rStyle w:val="Hyperlink"/>
          </w:rPr>
          <w:t xml:space="preserve">Jaeger 2001</w:t>
        </w:r>
      </w:hyperlink>
      <w:r>
        <w:t xml:space="preserve">,</w:t>
      </w:r>
      <w:r>
        <w:t xml:space="preserve"> </w:t>
      </w:r>
      <w:hyperlink r:id="rId28">
        <w:r>
          <w:rPr>
            <w:rStyle w:val="Hyperlink"/>
          </w:rPr>
          <w:t xml:space="preserve">Nuss 2004</w:t>
        </w:r>
      </w:hyperlink>
      <w:r>
        <w:t xml:space="preserve">).</w:t>
      </w:r>
    </w:p>
    <w:p>
      <w:pPr>
        <w:pStyle w:val="FirstParagraph"/>
      </w:pPr>
      <w:r>
        <w:t xml:space="preserve">There is also some evidence for combined symptom-triggered and fixed-schedule treatment utilizing CIWA-Ar (</w:t>
      </w:r>
      <w:hyperlink r:id="rId29">
        <w:r>
          <w:rPr>
            <w:rStyle w:val="Hyperlink"/>
          </w:rPr>
          <w:t xml:space="preserve">Daeppen 2002</w:t>
        </w:r>
      </w:hyperlink>
      <w:r>
        <w:t xml:space="preserve">).</w:t>
      </w:r>
    </w:p>
    <w:p>
      <w:pPr>
        <w:pStyle w:val="BodyText"/>
      </w:pPr>
      <w:r>
        <w:t xml:space="preserve">The original CIWA-A, published by</w:t>
      </w:r>
      <w:r>
        <w:t xml:space="preserve"> </w:t>
      </w:r>
      <w:hyperlink r:id="rId30">
        <w:r>
          <w:rPr>
            <w:rStyle w:val="Hyperlink"/>
          </w:rPr>
          <w:t xml:space="preserve">Shaw et al in 1981</w:t>
        </w:r>
      </w:hyperlink>
      <w:r>
        <w:t xml:space="preserve">, was developed to assess the severity of alcohol withdrawal, both to monitor response to treatment and for use in research. The CIWA-Ar developed by</w:t>
      </w:r>
      <w:r>
        <w:t xml:space="preserve"> </w:t>
      </w:r>
      <w:hyperlink r:id="rId31">
        <w:r>
          <w:rPr>
            <w:rStyle w:val="Hyperlink"/>
          </w:rPr>
          <w:t xml:space="preserve">Sullivan et al (1989)</w:t>
        </w:r>
      </w:hyperlink>
      <w:r>
        <w:t xml:space="preserve"> </w:t>
      </w:r>
      <w:r>
        <w:t xml:space="preserve">eliminated several redundant and ineffective items to increase the scale’s efficiency while retaining clinical usefulness, validity and reliability. This article proposes the CIWA-Ar scale as a shortened version of the original CIWA-A scale.</w:t>
      </w:r>
    </w:p>
    <w:p>
      <w:pPr>
        <w:pStyle w:val="BodyText"/>
      </w:pPr>
      <w:hyperlink r:id="rId26">
        <w:r>
          <w:rPr>
            <w:rStyle w:val="Hyperlink"/>
          </w:rPr>
          <w:t xml:space="preserve">Reoux</w:t>
        </w:r>
      </w:hyperlink>
      <w:r>
        <w:t xml:space="preserve"> </w:t>
      </w:r>
      <w:r>
        <w:t xml:space="preserve">and colleagues compared routine hospital alcohol detoxification practice with CIWA-Ar-based as-needed protocol in a retrospective chart review and found fewer total chlordiazepoxide milligram equivalents used over a shorter duration with utilization of CIWA-Ar.</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pubmed.ncbi.nlm.nih.gov/7334148/" TargetMode="External" /><Relationship Type="http://schemas.openxmlformats.org/officeDocument/2006/relationships/hyperlink" Id="rId26" Target="https://www.ncbi.nlm.nih.gov/pubmed/10934575" TargetMode="External" /><Relationship Type="http://schemas.openxmlformats.org/officeDocument/2006/relationships/hyperlink" Id="rId28" Target="https://www.ncbi.nlm.nih.gov/pubmed/15119493" TargetMode="External" /><Relationship Type="http://schemas.openxmlformats.org/officeDocument/2006/relationships/hyperlink" Id="rId23" Target="https://www.ncbi.nlm.nih.gov/pubmed/2178476" TargetMode="External" /><Relationship Type="http://schemas.openxmlformats.org/officeDocument/2006/relationships/hyperlink" Id="rId31" Target="https://www.ncbi.nlm.nih.gov/pubmed/2597811" TargetMode="External" /><Relationship Type="http://schemas.openxmlformats.org/officeDocument/2006/relationships/hyperlink" Id="rId25" Target="https://www.ncbi.nlm.nih.gov/pubmed/9214531" TargetMode="External" /><Relationship Type="http://schemas.openxmlformats.org/officeDocument/2006/relationships/hyperlink" Id="rId27" Target="https://www.ncbi.nlm.nih.gov/pubmed/?term=11444401" TargetMode="External" /><Relationship Type="http://schemas.openxmlformats.org/officeDocument/2006/relationships/hyperlink" Id="rId29" Target="https://www.ncbi.nlm.nih.gov/pubmed/?term=12020181" TargetMode="External" /><Relationship Type="http://schemas.openxmlformats.org/officeDocument/2006/relationships/hyperlink" Id="rId24" Target="https://www.ncbi.nlm.nih.gov/pubmed/?term=8046805" TargetMode="External" /></Relationships>
</file>

<file path=word/_rels/footnotes.xml.rels><?xml version="1.0" encoding="UTF-8"?><Relationships xmlns="http://schemas.openxmlformats.org/package/2006/relationships"><Relationship Type="http://schemas.openxmlformats.org/officeDocument/2006/relationships/hyperlink" Id="rId30" Target="https://pubmed.ncbi.nlm.nih.gov/7334148/" TargetMode="External" /><Relationship Type="http://schemas.openxmlformats.org/officeDocument/2006/relationships/hyperlink" Id="rId26" Target="https://www.ncbi.nlm.nih.gov/pubmed/10934575" TargetMode="External" /><Relationship Type="http://schemas.openxmlformats.org/officeDocument/2006/relationships/hyperlink" Id="rId28" Target="https://www.ncbi.nlm.nih.gov/pubmed/15119493" TargetMode="External" /><Relationship Type="http://schemas.openxmlformats.org/officeDocument/2006/relationships/hyperlink" Id="rId23" Target="https://www.ncbi.nlm.nih.gov/pubmed/2178476" TargetMode="External" /><Relationship Type="http://schemas.openxmlformats.org/officeDocument/2006/relationships/hyperlink" Id="rId31" Target="https://www.ncbi.nlm.nih.gov/pubmed/2597811" TargetMode="External" /><Relationship Type="http://schemas.openxmlformats.org/officeDocument/2006/relationships/hyperlink" Id="rId25" Target="https://www.ncbi.nlm.nih.gov/pubmed/9214531" TargetMode="External" /><Relationship Type="http://schemas.openxmlformats.org/officeDocument/2006/relationships/hyperlink" Id="rId27" Target="https://www.ncbi.nlm.nih.gov/pubmed/?term=11444401" TargetMode="External" /><Relationship Type="http://schemas.openxmlformats.org/officeDocument/2006/relationships/hyperlink" Id="rId29" Target="https://www.ncbi.nlm.nih.gov/pubmed/?term=12020181" TargetMode="External" /><Relationship Type="http://schemas.openxmlformats.org/officeDocument/2006/relationships/hyperlink" Id="rId24" Target="https://www.ncbi.nlm.nih.gov/pubmed/?term=80468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2024-07-22T20:04:15Z</dcterms:created>
  <dcterms:modified xsi:type="dcterms:W3CDTF">2024-07-22T20:04:15Z</dcterms:modified>
</cp:coreProperties>
</file>

<file path=docProps/custom.xml><?xml version="1.0" encoding="utf-8"?>
<Properties xmlns="http://schemas.openxmlformats.org/officeDocument/2006/custom-properties" xmlns:vt="http://schemas.openxmlformats.org/officeDocument/2006/docPropsVTypes"/>
</file>