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fractional-excretion-of-sodium-fena"/>
    <w:p>
      <w:pPr>
        <w:pStyle w:val="Heading1"/>
      </w:pPr>
      <w:r>
        <w:t xml:space="preserve">Fractional Excretion of Sodium (FENa)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Serum sodium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Serum creatinine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Urine sodium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Urine creatinine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Fractional Excretion of Sodium (FENa), % = 100 × (S</w:t>
      </w:r>
      <w:r>
        <w:rPr>
          <w:vertAlign w:val="subscript"/>
        </w:rPr>
        <w:t xml:space="preserve">Cr</w:t>
      </w:r>
      <w:r>
        <w:t xml:space="preserve"> </w:t>
      </w:r>
      <w:r>
        <w:t xml:space="preserve">× U</w:t>
      </w:r>
      <w:r>
        <w:rPr>
          <w:vertAlign w:val="subscript"/>
        </w:rPr>
        <w:t xml:space="preserve">Na</w:t>
      </w:r>
      <w:r>
        <w:t xml:space="preserve"> </w:t>
      </w:r>
      <w:r>
        <w:t xml:space="preserve">) / (S</w:t>
      </w:r>
      <w:r>
        <w:rPr>
          <w:vertAlign w:val="subscript"/>
        </w:rPr>
        <w:t xml:space="preserve">Na</w:t>
      </w:r>
      <w:r>
        <w:t xml:space="preserve"> </w:t>
      </w:r>
      <w:r>
        <w:t xml:space="preserve">× U</w:t>
      </w:r>
      <w:r>
        <w:rPr>
          <w:vertAlign w:val="subscript"/>
        </w:rPr>
        <w:t xml:space="preserve">Cr</w:t>
      </w:r>
      <w:r>
        <w:t xml:space="preserve">)</w:t>
      </w:r>
    </w:p>
    <w:p>
      <w:pPr>
        <w:pStyle w:val="BodyText"/>
      </w:pPr>
      <w:r>
        <w:t xml:space="preserve">S</w:t>
      </w:r>
      <w:r>
        <w:rPr>
          <w:vertAlign w:val="subscript"/>
        </w:rPr>
        <w:t xml:space="preserve">Cr</w:t>
      </w:r>
      <w:r>
        <w:t xml:space="preserve">, serum creatinine; U</w:t>
      </w:r>
      <w:r>
        <w:rPr>
          <w:vertAlign w:val="subscript"/>
        </w:rPr>
        <w:t xml:space="preserve">Na</w:t>
      </w:r>
      <w:r>
        <w:t xml:space="preserve">, urine sodium; S</w:t>
      </w:r>
      <w:r>
        <w:rPr>
          <w:vertAlign w:val="subscript"/>
        </w:rPr>
        <w:t xml:space="preserve">Na</w:t>
      </w:r>
      <w:r>
        <w:t xml:space="preserve">, serum sodium; U</w:t>
      </w:r>
      <w:r>
        <w:rPr>
          <w:vertAlign w:val="subscript"/>
        </w:rPr>
        <w:t xml:space="preserve">Cr</w:t>
      </w:r>
      <w:r>
        <w:t xml:space="preserve">, urine creatinine.</w:t>
      </w:r>
    </w:p>
    <w:p>
      <w:pPr>
        <w:pStyle w:val="BodyText"/>
      </w:pPr>
      <w:r>
        <w:t xml:space="preserve">How the equation is derived:</w:t>
      </w:r>
    </w:p>
    <w:p>
      <w:pPr>
        <w:pStyle w:val="Compact"/>
        <w:numPr>
          <w:ilvl w:val="0"/>
          <w:numId w:val="1001"/>
        </w:numPr>
      </w:pPr>
      <w:r>
        <w:t xml:space="preserve">FENa is a measure of tubular resorption of Na.</w:t>
      </w:r>
    </w:p>
    <w:p>
      <w:pPr>
        <w:pStyle w:val="Compact"/>
        <w:numPr>
          <w:ilvl w:val="0"/>
          <w:numId w:val="1001"/>
        </w:numPr>
      </w:pPr>
      <w:r>
        <w:t xml:space="preserve">FENa = (Na excreted/Na filtered) x 100.</w:t>
      </w:r>
    </w:p>
    <w:p>
      <w:pPr>
        <w:pStyle w:val="Compact"/>
        <w:numPr>
          <w:ilvl w:val="0"/>
          <w:numId w:val="1001"/>
        </w:numPr>
      </w:pPr>
      <w:r>
        <w:t xml:space="preserve">Na excreted = U</w:t>
      </w:r>
      <w:r>
        <w:rPr>
          <w:vertAlign w:val="subscript"/>
        </w:rPr>
        <w:t xml:space="preserve">Na</w:t>
      </w:r>
      <w:r>
        <w:t xml:space="preserve"> </w:t>
      </w:r>
      <w:r>
        <w:t xml:space="preserve">× urine volume.</w:t>
      </w:r>
    </w:p>
    <w:p>
      <w:pPr>
        <w:pStyle w:val="Compact"/>
        <w:numPr>
          <w:ilvl w:val="0"/>
          <w:numId w:val="1001"/>
        </w:numPr>
      </w:pPr>
      <w:r>
        <w:t xml:space="preserve">Therefore, Na filtered = P</w:t>
      </w:r>
      <w:r>
        <w:rPr>
          <w:vertAlign w:val="subscript"/>
        </w:rPr>
        <w:t xml:space="preserve">Na</w:t>
      </w:r>
      <w:r>
        <w:t xml:space="preserve"> </w:t>
      </w:r>
      <w:r>
        <w:t xml:space="preserve">× (U</w:t>
      </w:r>
      <w:r>
        <w:rPr>
          <w:vertAlign w:val="subscript"/>
        </w:rPr>
        <w:t xml:space="preserve">Cr</w:t>
      </w:r>
      <w:r>
        <w:t xml:space="preserve"> </w:t>
      </w:r>
      <w:r>
        <w:t xml:space="preserve">× urine volume)/P</w:t>
      </w:r>
      <w:r>
        <w:rPr>
          <w:vertAlign w:val="subscript"/>
        </w:rPr>
        <w:t xml:space="preserve">Cr</w:t>
      </w:r>
      <w:r>
        <w:t xml:space="preserve">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Pre-Renal</w:t>
            </w:r>
          </w:p>
        </w:tc>
        <w:tc>
          <w:tcPr/>
          <w:p>
            <w:pPr>
              <w:pStyle w:val="Compact"/>
            </w:pPr>
            <w:r>
              <w:t xml:space="preserve">Indeterminate</w:t>
            </w:r>
          </w:p>
        </w:tc>
        <w:tc>
          <w:tcPr/>
          <w:p>
            <w:pPr>
              <w:pStyle w:val="Compact"/>
            </w:pPr>
            <w:r>
              <w:t xml:space="preserve">Intrinsic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FENa</w:t>
            </w:r>
          </w:p>
        </w:tc>
        <w:tc>
          <w:tcPr/>
          <w:p>
            <w:pPr>
              <w:pStyle w:val="Compact"/>
            </w:pPr>
            <w:r>
              <w:t xml:space="preserve">&lt;1%</w:t>
            </w:r>
          </w:p>
        </w:tc>
        <w:tc>
          <w:tcPr/>
          <w:p>
            <w:pPr>
              <w:pStyle w:val="Compact"/>
            </w:pPr>
            <w:r>
              <w:t xml:space="preserve">1-2%</w:t>
            </w:r>
          </w:p>
        </w:tc>
        <w:tc>
          <w:tcPr/>
          <w:p>
            <w:pPr>
              <w:pStyle w:val="Compact"/>
            </w:pPr>
            <w:r>
              <w:t xml:space="preserve">&gt;2%</w:t>
            </w:r>
          </w:p>
        </w:tc>
      </w:tr>
      <w:tr>
        <w:tc>
          <w:tcPr/>
          <w:p>
            <w:pPr>
              <w:pStyle w:val="Compact"/>
            </w:pPr>
            <w:r>
              <w:t xml:space="preserve">U</w:t>
            </w:r>
            <w:r>
              <w:rPr>
                <w:vertAlign w:val="subscript"/>
              </w:rPr>
              <w:t xml:space="preserve">Na</w:t>
            </w:r>
            <w:r>
              <w:t xml:space="preserve"> </w:t>
            </w:r>
            <w:r>
              <w:t xml:space="preserve">(mmol/L)</w:t>
            </w:r>
          </w:p>
        </w:tc>
        <w:tc>
          <w:tcPr/>
          <w:p>
            <w:pPr>
              <w:pStyle w:val="Compact"/>
            </w:pPr>
            <w:r>
              <w:t xml:space="preserve">&lt;20</w:t>
            </w:r>
          </w:p>
        </w:tc>
        <w:tc>
          <w:tcPr/>
          <w:p>
            <w:pPr>
              <w:pStyle w:val="Compact"/>
            </w:pPr>
            <w:r>
              <w:t xml:space="preserve">20-40</w:t>
            </w:r>
          </w:p>
        </w:tc>
        <w:tc>
          <w:tcPr/>
          <w:p>
            <w:pPr>
              <w:pStyle w:val="Compact"/>
            </w:pPr>
            <w:r>
              <w:t xml:space="preserve">&gt;40</w:t>
            </w:r>
          </w:p>
        </w:tc>
      </w:tr>
    </w:tbl>
    <w:p>
      <w:pPr>
        <w:pStyle w:val="BodyText"/>
      </w:pPr>
      <w:r>
        <w:rPr>
          <w:b/>
          <w:bCs/>
        </w:rPr>
        <w:t xml:space="preserve">Pre-Renal:</w:t>
      </w:r>
      <w:r>
        <w:t xml:space="preserve"> </w:t>
      </w:r>
      <w:r>
        <w:t xml:space="preserve">Anything causing decreased effective renal perfusion: hypovolemia, heart failure, renal artery stenosis, sepsis, etc. Remember, contrast-induced nephropathy will often look pre-renal.</w:t>
      </w:r>
    </w:p>
    <w:p>
      <w:pPr>
        <w:pStyle w:val="BodyText"/>
      </w:pPr>
      <w:r>
        <w:rPr>
          <w:b/>
          <w:bCs/>
        </w:rPr>
        <w:t xml:space="preserve">Intrinsic:</w:t>
      </w:r>
      <w:r>
        <w:t xml:space="preserve"> </w:t>
      </w:r>
      <w:r>
        <w:t xml:space="preserve">ATN, AIN, glomerulonephritides, etc.</w:t>
      </w:r>
    </w:p>
    <w:bookmarkEnd w:id="22"/>
    <w:bookmarkStart w:id="25" w:name="evidence-appraisal"/>
    <w:p>
      <w:pPr>
        <w:pStyle w:val="Heading2"/>
      </w:pPr>
      <w:r>
        <w:t xml:space="preserve">EVIDENCE APPRAISAL</w:t>
      </w:r>
    </w:p>
    <w:p>
      <w:pPr>
        <w:pStyle w:val="FirstParagraph"/>
      </w:pPr>
      <w:hyperlink r:id="rId23">
        <w:r>
          <w:rPr>
            <w:rStyle w:val="Hyperlink"/>
          </w:rPr>
          <w:t xml:space="preserve">Espinel in 1976</w:t>
        </w:r>
      </w:hyperlink>
      <w:r>
        <w:t xml:space="preserve"> </w:t>
      </w:r>
      <w:r>
        <w:t xml:space="preserve">originally described a FENa cutoff of &lt;1% for pre-renal azotemia in a study study of 17 adults with oliguria, defined as urine output &lt;20mL/hr.  Patients with urinary obstruction, acute glomerulonephritis, CKD, and diuretic use were excluded.</w:t>
      </w:r>
    </w:p>
    <w:p>
      <w:pPr>
        <w:pStyle w:val="BodyText"/>
      </w:pPr>
      <w:r>
        <w:t xml:space="preserve">A FENa cutoff of &lt;1% for pre-renal azotemia was clinically validated in a prospective study, though there was overlap between patients with true pre-renal azotemia and acute tubular necrosis.  Specificity for pre-renal azotemia (with a cutoff of &lt;1%) was decreased in non-oliguric acute renal failure (</w:t>
      </w:r>
      <w:hyperlink r:id="rId24">
        <w:r>
          <w:rPr>
            <w:rStyle w:val="Hyperlink"/>
          </w:rPr>
          <w:t xml:space="preserve">Miller 1978</w:t>
        </w:r>
      </w:hyperlink>
      <w:r>
        <w:t xml:space="preserve">).</w:t>
      </w:r>
    </w:p>
    <w:p>
      <w:pPr>
        <w:pStyle w:val="BodyText"/>
      </w:pPr>
      <w:r>
        <w:t xml:space="preserve">At a normal GFR of 180 L/day and Na concentration of 140 mEq/L, the filtered sodium load is 25,200 mEq/day (=140 × 180). A FENa of 1% in this setting represents sodium excretion of 252 mEq/day.  This is higher than the average sodium intake of 80 to 250 mEq/day. This is the physiologic basis for hypothesizing that patients with normal GFR have a FENa below 1%.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ncbi.nlm.nih.gov/pubmed/666184" TargetMode="External" /><Relationship Type="http://schemas.openxmlformats.org/officeDocument/2006/relationships/hyperlink" Id="rId23" Target="https://www.ncbi.nlm.nih.gov/pubmed/9472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ncbi.nlm.nih.gov/pubmed/666184" TargetMode="External" /><Relationship Type="http://schemas.openxmlformats.org/officeDocument/2006/relationships/hyperlink" Id="rId23" Target="https://www.ncbi.nlm.nih.gov/pubmed/9472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2024-07-22T20:04:20Z</dcterms:created>
  <dcterms:modified xsi:type="dcterms:W3CDTF">2024-07-22T20:04:20Z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