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glasgow-coma-scalescore-gcs"/>
    <w:p>
      <w:pPr>
        <w:pStyle w:val="Heading1"/>
      </w:pPr>
      <w:r>
        <w:t xml:space="preserve">Glasgow Coma Scale/Score (GCS)</w:t>
      </w:r>
    </w:p>
    <w:bookmarkStart w:id="20" w:name="inputs"/>
    <w:p>
      <w:pPr>
        <w:pStyle w:val="Heading2"/>
      </w:pPr>
      <w:r>
        <w:t xml:space="preserve">INPUTS</w:t>
      </w:r>
    </w:p>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Best eye response</w:t>
            </w:r>
          </w:p>
          <w:p>
            <w:pPr>
              <w:pStyle w:val="BodyText"/>
            </w:pPr>
            <w:r>
              <w:rPr>
                <w:i/>
                <w:iCs/>
              </w:rPr>
              <w:t xml:space="preserve">If local injury, edema, or otherwise unable to be assessed, mark "Not testable (NT)"</w:t>
            </w:r>
          </w:p>
        </w:tc>
        <w:tc>
          <w:tcPr/>
          <w:p>
            <w:pPr>
              <w:pStyle w:val="Compact"/>
            </w:pPr>
            <w:r>
              <w:rPr>
                <w:b/>
                <w:bCs/>
              </w:rPr>
              <w:t xml:space="preserve">Options:</w:t>
            </w:r>
          </w:p>
          <w:p>
            <w:pPr>
              <w:pStyle w:val="Compact"/>
              <w:numPr>
                <w:ilvl w:val="0"/>
                <w:numId w:val="1001"/>
              </w:numPr>
            </w:pPr>
            <w:r>
              <w:t xml:space="preserve">Spontaneously (+4)</w:t>
            </w:r>
          </w:p>
          <w:p>
            <w:pPr>
              <w:pStyle w:val="Compact"/>
              <w:numPr>
                <w:ilvl w:val="0"/>
                <w:numId w:val="1001"/>
              </w:numPr>
            </w:pPr>
            <w:r>
              <w:t xml:space="preserve">To verbal command (+3)</w:t>
            </w:r>
          </w:p>
          <w:p>
            <w:pPr>
              <w:pStyle w:val="Compact"/>
              <w:numPr>
                <w:ilvl w:val="0"/>
                <w:numId w:val="1001"/>
              </w:numPr>
            </w:pPr>
            <w:r>
              <w:t xml:space="preserve">To pain (+2)</w:t>
            </w:r>
          </w:p>
          <w:p>
            <w:pPr>
              <w:pStyle w:val="Compact"/>
              <w:numPr>
                <w:ilvl w:val="0"/>
                <w:numId w:val="1001"/>
              </w:numPr>
            </w:pPr>
            <w:r>
              <w:t xml:space="preserve">No eye opening (+1)</w:t>
            </w:r>
          </w:p>
          <w:p>
            <w:pPr>
              <w:pStyle w:val="Compact"/>
              <w:numPr>
                <w:ilvl w:val="0"/>
                <w:numId w:val="1001"/>
              </w:numPr>
            </w:pPr>
            <w:r>
              <w:t xml:space="preserve">Not testable (NT)</w:t>
            </w:r>
          </w:p>
        </w:tc>
      </w:tr>
      <w:tr>
        <w:tc>
          <w:tcPr/>
          <w:p>
            <w:pPr>
              <w:pStyle w:val="FirstParagraph"/>
            </w:pPr>
            <w:r>
              <w:t xml:space="preserve">Best verbal response</w:t>
            </w:r>
          </w:p>
          <w:p>
            <w:pPr>
              <w:pStyle w:val="BodyText"/>
            </w:pPr>
            <w:r>
              <w:rPr>
                <w:i/>
                <w:iCs/>
              </w:rPr>
              <w:t xml:space="preserve">If intubated or otherwise unable to be assessed, mark "Not testable (NT)"</w:t>
            </w:r>
          </w:p>
        </w:tc>
        <w:tc>
          <w:tcPr/>
          <w:p>
            <w:pPr>
              <w:pStyle w:val="Compact"/>
            </w:pPr>
            <w:r>
              <w:rPr>
                <w:b/>
                <w:bCs/>
              </w:rPr>
              <w:t xml:space="preserve">Options:</w:t>
            </w:r>
          </w:p>
          <w:p>
            <w:pPr>
              <w:pStyle w:val="Compact"/>
              <w:numPr>
                <w:ilvl w:val="0"/>
                <w:numId w:val="1002"/>
              </w:numPr>
            </w:pPr>
            <w:r>
              <w:t xml:space="preserve">Oriented (+5)</w:t>
            </w:r>
          </w:p>
          <w:p>
            <w:pPr>
              <w:pStyle w:val="Compact"/>
              <w:numPr>
                <w:ilvl w:val="0"/>
                <w:numId w:val="1002"/>
              </w:numPr>
            </w:pPr>
            <w:r>
              <w:t xml:space="preserve">Confused (+4)</w:t>
            </w:r>
          </w:p>
          <w:p>
            <w:pPr>
              <w:pStyle w:val="Compact"/>
              <w:numPr>
                <w:ilvl w:val="0"/>
                <w:numId w:val="1002"/>
              </w:numPr>
            </w:pPr>
            <w:r>
              <w:t xml:space="preserve">Inappropriate words (+3)</w:t>
            </w:r>
          </w:p>
          <w:p>
            <w:pPr>
              <w:pStyle w:val="Compact"/>
              <w:numPr>
                <w:ilvl w:val="0"/>
                <w:numId w:val="1002"/>
              </w:numPr>
            </w:pPr>
            <w:r>
              <w:t xml:space="preserve">Incomprehensible sounds (+2)</w:t>
            </w:r>
          </w:p>
          <w:p>
            <w:pPr>
              <w:pStyle w:val="Compact"/>
              <w:numPr>
                <w:ilvl w:val="0"/>
                <w:numId w:val="1002"/>
              </w:numPr>
            </w:pPr>
            <w:r>
              <w:t xml:space="preserve">No verbal response (+1)</w:t>
            </w:r>
          </w:p>
          <w:p>
            <w:pPr>
              <w:pStyle w:val="Compact"/>
              <w:numPr>
                <w:ilvl w:val="0"/>
                <w:numId w:val="1002"/>
              </w:numPr>
            </w:pPr>
            <w:r>
              <w:t xml:space="preserve">Not testable/intubated (NT)</w:t>
            </w:r>
          </w:p>
        </w:tc>
      </w:tr>
      <w:tr>
        <w:tc>
          <w:tcPr/>
          <w:p>
            <w:pPr>
              <w:pStyle w:val="FirstParagraph"/>
            </w:pPr>
            <w:r>
              <w:t xml:space="preserve">Best motor response</w:t>
            </w:r>
          </w:p>
          <w:p>
            <w:pPr>
              <w:pStyle w:val="BodyText"/>
            </w:pPr>
            <w:r>
              <w:rPr>
                <w:i/>
                <w:iCs/>
              </w:rPr>
              <w:t xml:space="preserve">If on sedation/paralysis or unable to be assessed, mark "Not testable (NT)"</w:t>
            </w:r>
          </w:p>
        </w:tc>
        <w:tc>
          <w:tcPr/>
          <w:p>
            <w:pPr>
              <w:pStyle w:val="Compact"/>
            </w:pPr>
            <w:r>
              <w:rPr>
                <w:b/>
                <w:bCs/>
              </w:rPr>
              <w:t xml:space="preserve">Options:</w:t>
            </w:r>
          </w:p>
          <w:p>
            <w:pPr>
              <w:pStyle w:val="Compact"/>
              <w:numPr>
                <w:ilvl w:val="0"/>
                <w:numId w:val="1003"/>
              </w:numPr>
            </w:pPr>
            <w:r>
              <w:t xml:space="preserve">Obeys commands (+6)</w:t>
            </w:r>
          </w:p>
          <w:p>
            <w:pPr>
              <w:pStyle w:val="Compact"/>
              <w:numPr>
                <w:ilvl w:val="0"/>
                <w:numId w:val="1003"/>
              </w:numPr>
            </w:pPr>
            <w:r>
              <w:t xml:space="preserve">Localizes pain (+5)</w:t>
            </w:r>
          </w:p>
          <w:p>
            <w:pPr>
              <w:pStyle w:val="Compact"/>
              <w:numPr>
                <w:ilvl w:val="0"/>
                <w:numId w:val="1003"/>
              </w:numPr>
            </w:pPr>
            <w:r>
              <w:t xml:space="preserve">Withdrawal from pain (+4)</w:t>
            </w:r>
          </w:p>
          <w:p>
            <w:pPr>
              <w:pStyle w:val="Compact"/>
              <w:numPr>
                <w:ilvl w:val="0"/>
                <w:numId w:val="1003"/>
              </w:numPr>
            </w:pPr>
            <w:r>
              <w:t xml:space="preserve">Flexion to pain (+3)</w:t>
            </w:r>
          </w:p>
          <w:p>
            <w:pPr>
              <w:pStyle w:val="Compact"/>
              <w:numPr>
                <w:ilvl w:val="0"/>
                <w:numId w:val="1003"/>
              </w:numPr>
            </w:pPr>
            <w:r>
              <w:t xml:space="preserve">Extension to pain (+2)</w:t>
            </w:r>
          </w:p>
          <w:p>
            <w:pPr>
              <w:pStyle w:val="Compact"/>
              <w:numPr>
                <w:ilvl w:val="0"/>
                <w:numId w:val="1003"/>
              </w:numPr>
            </w:pPr>
            <w:r>
              <w:t xml:space="preserve">No motor response (+1)</w:t>
            </w:r>
          </w:p>
          <w:p>
            <w:pPr>
              <w:pStyle w:val="Compact"/>
              <w:numPr>
                <w:ilvl w:val="0"/>
                <w:numId w:val="1003"/>
              </w:numPr>
            </w:pPr>
            <w:r>
              <w:t xml:space="preserve">Not testable (NT)</w:t>
            </w:r>
          </w:p>
        </w:tc>
      </w:tr>
    </w:tbl>
    <w:bookmarkEnd w:id="20"/>
    <w:bookmarkStart w:id="21" w:name="formula"/>
    <w:p>
      <w:pPr>
        <w:pStyle w:val="Heading2"/>
      </w:pPr>
      <w:r>
        <w:t xml:space="preserve">FORMULA</w:t>
      </w:r>
    </w:p>
    <w:p>
      <w:pPr>
        <w:pStyle w:val="FirstParagraph"/>
      </w:pPr>
      <w:r>
        <w:t xml:space="preserve">The Glasgow Coma</w:t>
      </w:r>
      <w:r>
        <w:t xml:space="preserve"> </w:t>
      </w:r>
      <w:r>
        <w:rPr>
          <w:b/>
          <w:bCs/>
        </w:rPr>
        <w:t xml:space="preserve">Score </w:t>
      </w:r>
      <w:r>
        <w:t xml:space="preserve">is calculated by addition of the total points selected under each component (eye, verbal, motor) below, e.g. "15 points".</w:t>
      </w:r>
    </w:p>
    <w:p>
      <w:pPr>
        <w:pStyle w:val="BodyText"/>
      </w:pPr>
      <w:r>
        <w:t xml:space="preserve">The Glasgow Coma</w:t>
      </w:r>
      <w:r>
        <w:t xml:space="preserve"> </w:t>
      </w:r>
      <w:r>
        <w:rPr>
          <w:b/>
          <w:bCs/>
        </w:rPr>
        <w:t xml:space="preserve">Scale</w:t>
      </w:r>
      <w:r>
        <w:t xml:space="preserve"> </w:t>
      </w:r>
      <w:r>
        <w:t xml:space="preserve">is comprised of the individual components, e.g. "E(4) V(5) M (6)".</w:t>
      </w:r>
    </w:p>
    <w:bookmarkEnd w:id="21"/>
    <w:bookmarkStart w:id="22" w:name="facts-figures"/>
    <w:p>
      <w:pPr>
        <w:pStyle w:val="Heading2"/>
      </w:pPr>
      <w:r>
        <w:t xml:space="preserve">FACTS &amp; FIGURES</w:t>
      </w:r>
    </w:p>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Component</w:t>
            </w:r>
          </w:p>
        </w:tc>
        <w:tc>
          <w:tcPr/>
          <w:p>
            <w:pPr>
              <w:pStyle w:val="Compact"/>
            </w:pPr>
            <w:r>
              <w:t xml:space="preserve">Response</w:t>
            </w:r>
          </w:p>
        </w:tc>
        <w:tc>
          <w:tcPr/>
          <w:p>
            <w:pPr>
              <w:pStyle w:val="Compact"/>
            </w:pPr>
            <w:r>
              <w:t xml:space="preserve">Points</w:t>
            </w:r>
          </w:p>
        </w:tc>
      </w:tr>
      <w:tr>
        <w:tc>
          <w:tcPr>
            <w:vMerge w:val="restart"/>
          </w:tcPr>
          <w:p>
            <w:pPr>
              <w:pStyle w:val="Compact"/>
            </w:pPr>
            <w:r>
              <w:t xml:space="preserve">Eye</w:t>
            </w:r>
          </w:p>
        </w:tc>
        <w:tc>
          <w:tcPr/>
          <w:p>
            <w:pPr>
              <w:pStyle w:val="Compact"/>
            </w:pPr>
            <w:r>
              <w:t xml:space="preserve">Eyes open spontaneously</w:t>
            </w:r>
          </w:p>
        </w:tc>
        <w:tc>
          <w:tcPr/>
          <w:p>
            <w:pPr>
              <w:pStyle w:val="Compact"/>
            </w:pPr>
            <w:r>
              <w:t xml:space="preserve">+4</w:t>
            </w:r>
          </w:p>
        </w:tc>
      </w:tr>
      <w:tr>
        <w:tc>
          <w:tcPr>
            <w:gridSpan w:val="1"/>
            <w:vMerge w:val="continue"/>
          </w:tcPr>
          <w:p>
            <w:pPr/>
          </w:p>
        </w:tc>
        <w:tc>
          <w:tcPr/>
          <w:p>
            <w:pPr>
              <w:pStyle w:val="Compact"/>
            </w:pPr>
            <w:r>
              <w:t xml:space="preserve">Eye opening to verbal command</w:t>
            </w:r>
          </w:p>
        </w:tc>
        <w:tc>
          <w:tcPr/>
          <w:p>
            <w:pPr>
              <w:pStyle w:val="Compact"/>
            </w:pPr>
            <w:r>
              <w:t xml:space="preserve">+3</w:t>
            </w:r>
          </w:p>
        </w:tc>
      </w:tr>
      <w:tr>
        <w:tc>
          <w:tcPr>
            <w:gridSpan w:val="1"/>
            <w:vMerge w:val="continue"/>
          </w:tcPr>
          <w:p>
            <w:pPr/>
          </w:p>
        </w:tc>
        <w:tc>
          <w:tcPr/>
          <w:p>
            <w:pPr>
              <w:pStyle w:val="Compact"/>
            </w:pPr>
            <w:r>
              <w:t xml:space="preserve">Eye opening to pain</w:t>
            </w:r>
          </w:p>
        </w:tc>
        <w:tc>
          <w:tcPr/>
          <w:p>
            <w:pPr>
              <w:pStyle w:val="Compact"/>
            </w:pPr>
            <w:r>
              <w:t xml:space="preserve">+2</w:t>
            </w:r>
          </w:p>
        </w:tc>
      </w:tr>
      <w:tr>
        <w:tc>
          <w:tcPr>
            <w:gridSpan w:val="1"/>
            <w:vMerge w:val="continue"/>
          </w:tcPr>
          <w:p>
            <w:pPr/>
          </w:p>
        </w:tc>
        <w:tc>
          <w:tcPr/>
          <w:p>
            <w:pPr>
              <w:pStyle w:val="Compact"/>
            </w:pPr>
            <w:r>
              <w:t xml:space="preserve">No eye opening</w:t>
            </w:r>
          </w:p>
        </w:tc>
        <w:tc>
          <w:tcPr/>
          <w:p>
            <w:pPr>
              <w:pStyle w:val="Compact"/>
            </w:pPr>
            <w:r>
              <w:t xml:space="preserve">+1</w:t>
            </w:r>
          </w:p>
        </w:tc>
      </w:tr>
      <w:tr>
        <w:tc>
          <w:tcPr>
            <w:gridSpan w:val="1"/>
            <w:vMerge w:val="continue"/>
          </w:tcPr>
          <w:p>
            <w:pPr/>
          </w:p>
        </w:tc>
        <w:tc>
          <w:tcPr/>
          <w:p>
            <w:pPr>
              <w:pStyle w:val="Compact"/>
            </w:pPr>
            <w:r>
              <w:t xml:space="preserve">Not testable*</w:t>
            </w:r>
          </w:p>
        </w:tc>
        <w:tc>
          <w:tcPr/>
          <w:p>
            <w:pPr>
              <w:pStyle w:val="Compact"/>
            </w:pPr>
            <w:r>
              <w:t xml:space="preserve">NT</w:t>
            </w:r>
          </w:p>
        </w:tc>
      </w:tr>
      <w:tr>
        <w:tc>
          <w:tcPr>
            <w:vMerge w:val="restart"/>
          </w:tcPr>
          <w:p>
            <w:pPr>
              <w:pStyle w:val="Compact"/>
            </w:pPr>
            <w:r>
              <w:t xml:space="preserve">Verbal</w:t>
            </w:r>
          </w:p>
        </w:tc>
        <w:tc>
          <w:tcPr/>
          <w:p>
            <w:pPr>
              <w:pStyle w:val="Compact"/>
            </w:pPr>
            <w:r>
              <w:t xml:space="preserve">Oriented</w:t>
            </w:r>
          </w:p>
        </w:tc>
        <w:tc>
          <w:tcPr/>
          <w:p>
            <w:pPr>
              <w:pStyle w:val="Compact"/>
            </w:pPr>
            <w:r>
              <w:t xml:space="preserve">+5</w:t>
            </w:r>
          </w:p>
        </w:tc>
      </w:tr>
      <w:tr>
        <w:tc>
          <w:tcPr>
            <w:gridSpan w:val="1"/>
            <w:vMerge w:val="continue"/>
          </w:tcPr>
          <w:p>
            <w:pPr/>
          </w:p>
        </w:tc>
        <w:tc>
          <w:tcPr/>
          <w:p>
            <w:pPr>
              <w:pStyle w:val="Compact"/>
            </w:pPr>
            <w:r>
              <w:t xml:space="preserve">Confused</w:t>
            </w:r>
          </w:p>
        </w:tc>
        <w:tc>
          <w:tcPr/>
          <w:p>
            <w:pPr>
              <w:pStyle w:val="Compact"/>
            </w:pPr>
            <w:r>
              <w:t xml:space="preserve">+4</w:t>
            </w:r>
          </w:p>
        </w:tc>
      </w:tr>
      <w:tr>
        <w:tc>
          <w:tcPr>
            <w:gridSpan w:val="1"/>
            <w:vMerge w:val="continue"/>
          </w:tcPr>
          <w:p>
            <w:pPr/>
          </w:p>
        </w:tc>
        <w:tc>
          <w:tcPr/>
          <w:p>
            <w:pPr>
              <w:pStyle w:val="Compact"/>
            </w:pPr>
            <w:r>
              <w:t xml:space="preserve">Inappropriate words</w:t>
            </w:r>
          </w:p>
        </w:tc>
        <w:tc>
          <w:tcPr/>
          <w:p>
            <w:pPr>
              <w:pStyle w:val="Compact"/>
            </w:pPr>
            <w:r>
              <w:t xml:space="preserve">+3</w:t>
            </w:r>
          </w:p>
        </w:tc>
      </w:tr>
      <w:tr>
        <w:tc>
          <w:tcPr>
            <w:gridSpan w:val="1"/>
            <w:vMerge w:val="continue"/>
          </w:tcPr>
          <w:p>
            <w:pPr/>
          </w:p>
        </w:tc>
        <w:tc>
          <w:tcPr/>
          <w:p>
            <w:pPr>
              <w:pStyle w:val="Compact"/>
            </w:pPr>
            <w:r>
              <w:t xml:space="preserve">Incomprehensible sounds</w:t>
            </w:r>
          </w:p>
        </w:tc>
        <w:tc>
          <w:tcPr/>
          <w:p>
            <w:pPr>
              <w:pStyle w:val="Compact"/>
            </w:pPr>
            <w:r>
              <w:t xml:space="preserve">+2</w:t>
            </w:r>
          </w:p>
        </w:tc>
      </w:tr>
      <w:tr>
        <w:tc>
          <w:tcPr>
            <w:gridSpan w:val="1"/>
            <w:vMerge w:val="continue"/>
          </w:tcPr>
          <w:p>
            <w:pPr/>
          </w:p>
        </w:tc>
        <w:tc>
          <w:tcPr/>
          <w:p>
            <w:pPr>
              <w:pStyle w:val="Compact"/>
            </w:pPr>
            <w:r>
              <w:t xml:space="preserve">No verbal response</w:t>
            </w:r>
          </w:p>
        </w:tc>
        <w:tc>
          <w:tcPr/>
          <w:p>
            <w:pPr>
              <w:pStyle w:val="Compact"/>
            </w:pPr>
            <w:r>
              <w:t xml:space="preserve">+1</w:t>
            </w:r>
          </w:p>
        </w:tc>
      </w:tr>
      <w:tr>
        <w:tc>
          <w:tcPr>
            <w:gridSpan w:val="1"/>
            <w:vMerge w:val="continue"/>
          </w:tcPr>
          <w:p>
            <w:pPr/>
          </w:p>
        </w:tc>
        <w:tc>
          <w:tcPr/>
          <w:p>
            <w:pPr>
              <w:pStyle w:val="Compact"/>
            </w:pPr>
            <w:r>
              <w:t xml:space="preserve">Not testable/intubated*</w:t>
            </w:r>
          </w:p>
        </w:tc>
        <w:tc>
          <w:tcPr/>
          <w:p>
            <w:pPr>
              <w:pStyle w:val="Compact"/>
            </w:pPr>
            <w:r>
              <w:t xml:space="preserve">NT</w:t>
            </w:r>
          </w:p>
        </w:tc>
      </w:tr>
      <w:tr>
        <w:tc>
          <w:tcPr>
            <w:vMerge w:val="restart"/>
          </w:tcPr>
          <w:p>
            <w:pPr>
              <w:pStyle w:val="Compact"/>
            </w:pPr>
            <w:r>
              <w:t xml:space="preserve">Motor</w:t>
            </w:r>
          </w:p>
        </w:tc>
        <w:tc>
          <w:tcPr/>
          <w:p>
            <w:pPr>
              <w:pStyle w:val="Compact"/>
            </w:pPr>
            <w:r>
              <w:t xml:space="preserve">Obeys commands</w:t>
            </w:r>
          </w:p>
        </w:tc>
        <w:tc>
          <w:tcPr/>
          <w:p>
            <w:pPr>
              <w:pStyle w:val="Compact"/>
            </w:pPr>
            <w:r>
              <w:t xml:space="preserve">+6</w:t>
            </w:r>
          </w:p>
        </w:tc>
      </w:tr>
      <w:tr>
        <w:tc>
          <w:tcPr>
            <w:gridSpan w:val="1"/>
            <w:vMerge w:val="continue"/>
          </w:tcPr>
          <w:p>
            <w:pPr/>
          </w:p>
        </w:tc>
        <w:tc>
          <w:tcPr/>
          <w:p>
            <w:pPr>
              <w:pStyle w:val="Compact"/>
            </w:pPr>
            <w:r>
              <w:t xml:space="preserve">Localizes pain</w:t>
            </w:r>
          </w:p>
        </w:tc>
        <w:tc>
          <w:tcPr/>
          <w:p>
            <w:pPr>
              <w:pStyle w:val="Compact"/>
            </w:pPr>
            <w:r>
              <w:t xml:space="preserve">+5</w:t>
            </w:r>
          </w:p>
        </w:tc>
      </w:tr>
      <w:tr>
        <w:tc>
          <w:tcPr>
            <w:gridSpan w:val="1"/>
            <w:vMerge w:val="continue"/>
          </w:tcPr>
          <w:p>
            <w:pPr/>
          </w:p>
        </w:tc>
        <w:tc>
          <w:tcPr/>
          <w:p>
            <w:pPr>
              <w:pStyle w:val="Compact"/>
            </w:pPr>
            <w:r>
              <w:t xml:space="preserve">Withdrawal from pain</w:t>
            </w:r>
          </w:p>
        </w:tc>
        <w:tc>
          <w:tcPr/>
          <w:p>
            <w:pPr>
              <w:pStyle w:val="Compact"/>
            </w:pPr>
            <w:r>
              <w:t xml:space="preserve">+4</w:t>
            </w:r>
          </w:p>
        </w:tc>
      </w:tr>
      <w:tr>
        <w:tc>
          <w:tcPr>
            <w:gridSpan w:val="1"/>
            <w:vMerge w:val="continue"/>
          </w:tcPr>
          <w:p>
            <w:pPr/>
          </w:p>
        </w:tc>
        <w:tc>
          <w:tcPr/>
          <w:p>
            <w:pPr>
              <w:pStyle w:val="Compact"/>
            </w:pPr>
            <w:r>
              <w:t xml:space="preserve">Flexion to pain</w:t>
            </w:r>
          </w:p>
        </w:tc>
        <w:tc>
          <w:tcPr/>
          <w:p>
            <w:pPr>
              <w:pStyle w:val="Compact"/>
            </w:pPr>
            <w:r>
              <w:t xml:space="preserve">+3</w:t>
            </w:r>
          </w:p>
        </w:tc>
      </w:tr>
      <w:tr>
        <w:tc>
          <w:tcPr>
            <w:gridSpan w:val="1"/>
            <w:vMerge w:val="continue"/>
          </w:tcPr>
          <w:p>
            <w:pPr/>
          </w:p>
        </w:tc>
        <w:tc>
          <w:tcPr/>
          <w:p>
            <w:pPr>
              <w:pStyle w:val="Compact"/>
            </w:pPr>
            <w:r>
              <w:t xml:space="preserve">Extension to pain</w:t>
            </w:r>
          </w:p>
        </w:tc>
        <w:tc>
          <w:tcPr/>
          <w:p>
            <w:pPr>
              <w:pStyle w:val="Compact"/>
            </w:pPr>
            <w:r>
              <w:t xml:space="preserve">+2</w:t>
            </w:r>
          </w:p>
        </w:tc>
      </w:tr>
      <w:tr>
        <w:tc>
          <w:tcPr>
            <w:gridSpan w:val="1"/>
            <w:vMerge w:val="continue"/>
          </w:tcPr>
          <w:p>
            <w:pPr/>
          </w:p>
        </w:tc>
        <w:tc>
          <w:tcPr/>
          <w:p>
            <w:pPr>
              <w:pStyle w:val="Compact"/>
            </w:pPr>
            <w:r>
              <w:t xml:space="preserve">No motor response</w:t>
            </w:r>
          </w:p>
        </w:tc>
        <w:tc>
          <w:tcPr/>
          <w:p>
            <w:pPr>
              <w:pStyle w:val="Compact"/>
            </w:pPr>
            <w:r>
              <w:t xml:space="preserve">+1</w:t>
            </w:r>
          </w:p>
        </w:tc>
      </w:tr>
      <w:tr>
        <w:tc>
          <w:tcPr>
            <w:gridSpan w:val="1"/>
            <w:vMerge w:val="continue"/>
          </w:tcPr>
          <w:p>
            <w:pPr/>
          </w:p>
        </w:tc>
        <w:tc>
          <w:tcPr/>
          <w:p>
            <w:pPr>
              <w:pStyle w:val="Compact"/>
            </w:pPr>
            <w:r>
              <w:t xml:space="preserve">Not testable*</w:t>
            </w:r>
          </w:p>
        </w:tc>
        <w:tc>
          <w:tcPr/>
          <w:p>
            <w:pPr>
              <w:pStyle w:val="Compact"/>
            </w:pPr>
            <w:r>
              <w:t xml:space="preserve">NT</w:t>
            </w:r>
          </w:p>
        </w:tc>
      </w:tr>
    </w:tbl>
    <w:p>
      <w:pPr>
        <w:pStyle w:val="BodyText"/>
      </w:pPr>
      <w:r>
        <w:t xml:space="preserve">*Individual components may be not testable due to any of the following (note this is not a comprehensive list):</w:t>
      </w:r>
    </w:p>
    <w:p>
      <w:pPr>
        <w:pStyle w:val="Compact"/>
        <w:numPr>
          <w:ilvl w:val="0"/>
          <w:numId w:val="1004"/>
        </w:numPr>
      </w:pPr>
      <w:r>
        <w:rPr>
          <w:b/>
          <w:bCs/>
        </w:rPr>
        <w:t xml:space="preserve">Eye:</w:t>
      </w:r>
      <w:r>
        <w:t xml:space="preserve"> </w:t>
      </w:r>
      <w:r>
        <w:t xml:space="preserve">local injury and/or edema.</w:t>
      </w:r>
    </w:p>
    <w:p>
      <w:pPr>
        <w:pStyle w:val="Compact"/>
        <w:numPr>
          <w:ilvl w:val="0"/>
          <w:numId w:val="1004"/>
        </w:numPr>
      </w:pPr>
      <w:r>
        <w:rPr>
          <w:b/>
          <w:bCs/>
        </w:rPr>
        <w:t xml:space="preserve">Verbal:</w:t>
      </w:r>
      <w:r>
        <w:t xml:space="preserve"> </w:t>
      </w:r>
      <w:r>
        <w:t xml:space="preserve">intubation.</w:t>
      </w:r>
    </w:p>
    <w:p>
      <w:pPr>
        <w:pStyle w:val="Compact"/>
        <w:numPr>
          <w:ilvl w:val="0"/>
          <w:numId w:val="1004"/>
        </w:numPr>
      </w:pPr>
      <w:r>
        <w:rPr>
          <w:b/>
          <w:bCs/>
        </w:rPr>
        <w:t xml:space="preserve">All (eye, verbal, motor):</w:t>
      </w:r>
      <w:r>
        <w:t xml:space="preserve"> </w:t>
      </w:r>
      <w:r>
        <w:t xml:space="preserve">sedation, paralysis, and ventilation eliminating all responses. </w:t>
      </w:r>
    </w:p>
    <w:bookmarkEnd w:id="22"/>
    <w:bookmarkStart w:id="26" w:name="evidence-appraisal"/>
    <w:p>
      <w:pPr>
        <w:pStyle w:val="Heading2"/>
      </w:pPr>
      <w:r>
        <w:t xml:space="preserve">EVIDENCE APPRAISAL</w:t>
      </w:r>
    </w:p>
    <w:p>
      <w:pPr>
        <w:pStyle w:val="Compact"/>
        <w:numPr>
          <w:ilvl w:val="0"/>
          <w:numId w:val="1005"/>
        </w:numPr>
      </w:pPr>
      <w:r>
        <w:t xml:space="preserve">The Modified Glasgow Coma Scale (the 15-point scale that has been widely adopted, including by the original unit in Glasgow, as opposed to the 14 point original GCS Scale) was developed to be used in a repeated manner in the inpatient setting to assess and communicate changes in mental status and to measure the duration of coma (</w:t>
      </w:r>
      <w:hyperlink r:id="rId23">
        <w:r>
          <w:rPr>
            <w:rStyle w:val="Hyperlink"/>
          </w:rPr>
          <w:t xml:space="preserve">Teasdale 1974)</w:t>
        </w:r>
      </w:hyperlink>
      <w:r>
        <w:t xml:space="preserve">.</w:t>
      </w:r>
    </w:p>
    <w:p>
      <w:pPr>
        <w:pStyle w:val="Compact"/>
        <w:numPr>
          <w:ilvl w:val="0"/>
          <w:numId w:val="1005"/>
        </w:numPr>
      </w:pPr>
      <w:r>
        <w:t xml:space="preserve">The evidence in 53 published reports on the reproducibility of the scale was synthesised in a systematic review by</w:t>
      </w:r>
      <w:r>
        <w:t xml:space="preserve"> </w:t>
      </w:r>
      <w:hyperlink r:id="rId24">
        <w:r>
          <w:rPr>
            <w:rStyle w:val="Hyperlink"/>
          </w:rPr>
          <w:t xml:space="preserve">Reith et al</w:t>
        </w:r>
      </w:hyperlink>
      <w:r>
        <w:t xml:space="preserve">. 85% of the findings in higher quality studies showed substantial reliability as judged by the standard criterion of a kappa statistic (k) above 0.6. Reproducibility of the total GCS Score was also high, with kappa greater than 0.6 in 77% of observations. Education and training on usage of the scale resulted in A clear beneficial effect on reliability (</w:t>
      </w:r>
      <w:hyperlink r:id="rId24">
        <w:r>
          <w:rPr>
            <w:rStyle w:val="Hyperlink"/>
          </w:rPr>
          <w:t xml:space="preserve">Reith 2016</w:t>
        </w:r>
      </w:hyperlink>
      <w:r>
        <w:t xml:space="preserve">).</w:t>
      </w:r>
    </w:p>
    <w:p>
      <w:pPr>
        <w:pStyle w:val="Compact"/>
        <w:numPr>
          <w:ilvl w:val="0"/>
          <w:numId w:val="1005"/>
        </w:numPr>
      </w:pPr>
      <w:r>
        <w:t xml:space="preserve">In its most common usage, the three sections of the scale are often summed to provide a summary of severity. The authors themselves have explicitly objected to the score being used in this way, and analysis has shown that patients with the same total score can have huge variations in outcomes, specifically mortality (GCS score of 4 predicts a mortality rate of 48% if calculated 1+1+2 for eye, verbal, and motor, a mortality of 27% if calculated 1+2+1, but a mortality of only 19% if calculated 2+1+1 (</w:t>
      </w:r>
      <w:hyperlink r:id="rId25">
        <w:r>
          <w:rPr>
            <w:rStyle w:val="Hyperlink"/>
          </w:rPr>
          <w:t xml:space="preserve">Healey 2014</w:t>
        </w:r>
      </w:hyperlink>
      <w:r>
        <w:t xml:space="preserve">).</w:t>
      </w:r>
    </w:p>
    <w:p>
      <w:pPr>
        <w:pStyle w:val="FirstParagraph"/>
      </w:pPr>
      <w:r>
        <w:t xml:space="preserve">In summary, the Modified Glasgow Coma Scale provides a nearly universally accepted method of assessing patients with acute brain damage. Summation of its components into a single overall score loses information and provides only a rough guide to severity. In some circumstances, such as early triage of severe injuries, assessment of only a contracted version of the motor component of the scale, as in the Simplified Motor Scale (SMS) can perform as well the GCS and is significantly less complicated. However, the SMS may be less informative in patients with lesser injuries.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www.ncbi.nlm.nih.gov/pubmed/12707528" TargetMode="External" /><Relationship Type="http://schemas.openxmlformats.org/officeDocument/2006/relationships/hyperlink" Id="rId24" Target="https://www.ncbi.nlm.nih.gov/pubmed/26564211" TargetMode="External" /><Relationship Type="http://schemas.openxmlformats.org/officeDocument/2006/relationships/hyperlink" Id="rId23" Target="https://www.ncbi.nlm.nih.gov/pubmed/4136544" TargetMode="External" /></Relationships>
</file>

<file path=word/_rels/footnotes.xml.rels><?xml version="1.0" encoding="UTF-8"?><Relationships xmlns="http://schemas.openxmlformats.org/package/2006/relationships"><Relationship Type="http://schemas.openxmlformats.org/officeDocument/2006/relationships/hyperlink" Id="rId25" Target="https://www.ncbi.nlm.nih.gov/pubmed/12707528" TargetMode="External" /><Relationship Type="http://schemas.openxmlformats.org/officeDocument/2006/relationships/hyperlink" Id="rId24" Target="https://www.ncbi.nlm.nih.gov/pubmed/26564211" TargetMode="External" /><Relationship Type="http://schemas.openxmlformats.org/officeDocument/2006/relationships/hyperlink" Id="rId23" Target="https://www.ncbi.nlm.nih.gov/pubmed/41365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2024-07-22T20:04:25Z</dcterms:created>
  <dcterms:modified xsi:type="dcterms:W3CDTF">2024-07-22T20:04:25Z</dcterms:modified>
</cp:coreProperties>
</file>

<file path=docProps/custom.xml><?xml version="1.0" encoding="utf-8"?>
<Properties xmlns="http://schemas.openxmlformats.org/officeDocument/2006/custom-properties" xmlns:vt="http://schemas.openxmlformats.org/officeDocument/2006/docPropsVTypes"/>
</file>