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grace-acs-risk-and-mortality-calculator"/>
    <w:p>
      <w:pPr>
        <w:pStyle w:val="Heading1"/>
      </w:pPr>
      <w:r>
        <w:t xml:space="preserve">GRACE ACS Risk and Mortality Calculator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Age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Heart rate/pulse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Systolic BP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Creatinine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Cardiac arrest at admission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Yes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ST segment deviation on EKG?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Yes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Abnormal cardiac enzymes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Killip class (signs/symptoms)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 CHF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Rales and/or JVD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Pulmonary edema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Cardiogenic shock</w:t>
            </w:r>
          </w:p>
        </w:tc>
      </w:tr>
    </w:tbl>
    <w:bookmarkEnd w:id="20"/>
    <w:bookmarkStart w:id="22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Nomogram, as detailed under </w:t>
      </w:r>
      <w:hyperlink r:id="rId21">
        <w:r>
          <w:rPr>
            <w:rStyle w:val="Hyperlink"/>
          </w:rPr>
          <w:t xml:space="preserve">8. Fox Model for Death between Hospital Admission and 6 months later</w:t>
        </w:r>
      </w:hyperlink>
      <w:r>
        <w:t xml:space="preserve">.</w:t>
      </w:r>
    </w:p>
    <w:bookmarkEnd w:id="22"/>
    <w:bookmarkStart w:id="23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rPr>
          <w:b/>
          <w:bCs/>
        </w:rPr>
        <w:t xml:space="preserve">Score interpretation: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Grace Score Range</w:t>
            </w:r>
          </w:p>
        </w:tc>
        <w:tc>
          <w:tcPr/>
          <w:p>
            <w:pPr>
              <w:pStyle w:val="Compact"/>
            </w:pPr>
            <w:r>
              <w:t xml:space="preserve">Mortality 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0-87</w:t>
            </w:r>
          </w:p>
        </w:tc>
        <w:tc>
          <w:tcPr/>
          <w:p>
            <w:pPr>
              <w:pStyle w:val="Compact"/>
            </w:pPr>
            <w:r>
              <w:t xml:space="preserve">0-2%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88-128</w:t>
            </w:r>
          </w:p>
        </w:tc>
        <w:tc>
          <w:tcPr/>
          <w:p>
            <w:pPr>
              <w:pStyle w:val="Compact"/>
            </w:pPr>
            <w:r>
              <w:t xml:space="preserve">3-10%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129-149</w:t>
            </w:r>
          </w:p>
        </w:tc>
        <w:tc>
          <w:tcPr/>
          <w:p>
            <w:pPr>
              <w:pStyle w:val="Compact"/>
            </w:pPr>
            <w:r>
              <w:t xml:space="preserve">10-20%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150-173</w:t>
            </w:r>
          </w:p>
        </w:tc>
        <w:tc>
          <w:tcPr/>
          <w:p>
            <w:pPr>
              <w:pStyle w:val="Compact"/>
            </w:pPr>
            <w:r>
              <w:t xml:space="preserve">20-30%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174-182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183-190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191-199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200-207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208-218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219-284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≥ 285</w:t>
            </w:r>
          </w:p>
        </w:tc>
        <w:tc>
          <w:tcPr/>
          <w:p>
            <w:pPr>
              <w:pStyle w:val="Compact"/>
            </w:pPr>
            <w:r>
              <w:t xml:space="preserve">99%</w:t>
            </w:r>
          </w:p>
        </w:tc>
      </w:tr>
    </w:tbl>
    <w:bookmarkEnd w:id="23"/>
    <w:bookmarkStart w:id="24" w:name="evidence-appraisal"/>
    <w:p>
      <w:pPr>
        <w:pStyle w:val="Heading2"/>
      </w:pPr>
      <w:r>
        <w:t xml:space="preserve">EVIDENCE APPRAISAL</w:t>
      </w:r>
    </w:p>
    <w:p>
      <w:pPr>
        <w:pStyle w:val="FirstParagraph"/>
      </w:pPr>
      <w:r>
        <w:t xml:space="preserve">The GRACE (Global Registry of Acute Coronary Events) is a massive, international database of ACS in 94 hospitals in 14 countries which gives it excellent external validity</w:t>
      </w:r>
      <w:r>
        <w:t xml:space="preserve"> </w:t>
      </w:r>
      <w:r>
        <w:rPr>
          <w:i/>
          <w:iCs/>
        </w:rPr>
        <w:t xml:space="preserve">a priori</w:t>
      </w:r>
      <w:r>
        <w:t xml:space="preserve">.</w:t>
      </w:r>
    </w:p>
    <w:p>
      <w:pPr>
        <w:pStyle w:val="BodyText"/>
      </w:pPr>
      <w:r>
        <w:t xml:space="preserve">Patients were entered into the study if they had ACS:</w:t>
      </w:r>
    </w:p>
    <w:p>
      <w:pPr>
        <w:pStyle w:val="Compact"/>
        <w:numPr>
          <w:ilvl w:val="0"/>
          <w:numId w:val="1005"/>
        </w:numPr>
      </w:pPr>
      <w:r>
        <w:t xml:space="preserve">Signs or symptoms of acute cardiac ischemia</w:t>
      </w:r>
      <w:r>
        <w:t xml:space="preserve"> </w:t>
      </w:r>
      <w:r>
        <w:rPr>
          <w:b/>
          <w:bCs/>
        </w:rPr>
        <w:t xml:space="preserve">plus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EKG findings consistent with ACS or</w:t>
      </w:r>
    </w:p>
    <w:p>
      <w:pPr>
        <w:pStyle w:val="Compact"/>
        <w:numPr>
          <w:ilvl w:val="1"/>
          <w:numId w:val="1006"/>
        </w:numPr>
      </w:pPr>
      <w:r>
        <w:t xml:space="preserve">Cardiac biomarker serial increases consistent with ACS or</w:t>
      </w:r>
    </w:p>
    <w:p>
      <w:pPr>
        <w:pStyle w:val="Compact"/>
        <w:numPr>
          <w:ilvl w:val="1"/>
          <w:numId w:val="1006"/>
        </w:numPr>
      </w:pPr>
      <w:r>
        <w:t xml:space="preserve">Documented coronary artery disease.</w:t>
      </w:r>
    </w:p>
    <w:p>
      <w:pPr>
        <w:pStyle w:val="Compact"/>
        <w:numPr>
          <w:ilvl w:val="0"/>
          <w:numId w:val="1006"/>
        </w:numPr>
      </w:pPr>
      <w:r>
        <w:t xml:space="preserve">This ACS could not be secondary to trauma, surgery, or other significant co-morbidity.</w:t>
      </w:r>
    </w:p>
    <w:p>
      <w:pPr>
        <w:pStyle w:val="Compact"/>
        <w:numPr>
          <w:ilvl w:val="0"/>
          <w:numId w:val="1006"/>
        </w:numPr>
      </w:pPr>
      <w:r>
        <w:t xml:space="preserve">In-hospital mortality status was available in 98.1% of the 11,389 ACS patients studied.</w:t>
      </w:r>
    </w:p>
    <w:p>
      <w:pPr>
        <w:pStyle w:val="Compact"/>
        <w:numPr>
          <w:ilvl w:val="0"/>
          <w:numId w:val="1006"/>
        </w:numPr>
      </w:pPr>
      <w:r>
        <w:t xml:space="preserve">22% of the in-hospital deaths occurred within 24 hours of admission, suggesting that this registry contains a very sick cohort of patients.</w:t>
      </w:r>
    </w:p>
    <w:p>
      <w:pPr>
        <w:pStyle w:val="FirstParagraph"/>
      </w:pPr>
      <w:r>
        <w:t xml:space="preserve">Of note, the GRACE 2.0 evaluated variables for non-linear mortality associations (thus providing a more accurate estimate of outcome). GRACE 2.0 also includes mortality estimates up to 3 years after the ACS event via several other data sets with longer followup windows.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outcomes-umassmed.org/grace/files/GRACE_RiskModel_Coefficient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outcomes-umassmed.org/grace/files/GRACE_RiskModel_Coefficient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2024-07-22T20:04:06Z</dcterms:created>
  <dcterms:modified xsi:type="dcterms:W3CDTF">2024-07-22T20:04:06Z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