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003c157195255f7d52774bf1aa59ac8d61372b2"/>
    <w:p>
      <w:pPr>
        <w:pStyle w:val="Heading1"/>
      </w:pPr>
      <w:r>
        <w:t xml:space="preserve">Gupta Perioperative Risk for Myocardial Infarction or Cardiac Arrest (MICA)</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Age</w:t>
            </w:r>
          </w:p>
          <w:p>
            <w:pPr>
              <w:pStyle w:val="BodyText"/>
            </w:pPr>
          </w:p>
        </w:tc>
        <w:tc>
          <w:tcPr/>
          <w:p>
            <w:pPr>
              <w:pStyle w:val="Compact"/>
            </w:pPr>
            <w:r>
              <w:rPr>
                <w:b/>
                <w:bCs/>
              </w:rPr>
              <w:t xml:space="preserve">Options:</w:t>
            </w:r>
          </w:p>
        </w:tc>
      </w:tr>
      <w:tr>
        <w:tc>
          <w:tcPr/>
          <w:p>
            <w:pPr>
              <w:pStyle w:val="FirstParagraph"/>
            </w:pPr>
            <w:r>
              <w:t xml:space="preserve">Functional status</w:t>
            </w:r>
          </w:p>
          <w:p>
            <w:pPr>
              <w:pStyle w:val="BodyText"/>
            </w:pPr>
          </w:p>
        </w:tc>
        <w:tc>
          <w:tcPr/>
          <w:p>
            <w:pPr>
              <w:pStyle w:val="Compact"/>
            </w:pPr>
            <w:r>
              <w:rPr>
                <w:b/>
                <w:bCs/>
              </w:rPr>
              <w:t xml:space="preserve">Options:</w:t>
            </w:r>
          </w:p>
          <w:p>
            <w:pPr>
              <w:pStyle w:val="Compact"/>
              <w:numPr>
                <w:ilvl w:val="0"/>
                <w:numId w:val="1001"/>
              </w:numPr>
            </w:pPr>
            <w:r>
              <w:t xml:space="preserve">Independent</w:t>
            </w:r>
          </w:p>
          <w:p>
            <w:pPr>
              <w:pStyle w:val="Compact"/>
              <w:numPr>
                <w:ilvl w:val="0"/>
                <w:numId w:val="1001"/>
              </w:numPr>
            </w:pPr>
            <w:r>
              <w:t xml:space="preserve">Partially dependent</w:t>
            </w:r>
          </w:p>
          <w:p>
            <w:pPr>
              <w:pStyle w:val="Compact"/>
              <w:numPr>
                <w:ilvl w:val="0"/>
                <w:numId w:val="1001"/>
              </w:numPr>
            </w:pPr>
            <w:r>
              <w:t xml:space="preserve">Totally dependent</w:t>
            </w:r>
          </w:p>
        </w:tc>
      </w:tr>
      <w:tr>
        <w:tc>
          <w:tcPr/>
          <w:p>
            <w:pPr>
              <w:pStyle w:val="FirstParagraph"/>
            </w:pPr>
            <w:r>
              <w:t xml:space="preserve">ASA class</w:t>
            </w:r>
          </w:p>
          <w:p>
            <w:pPr>
              <w:pStyle w:val="BodyText"/>
            </w:pPr>
          </w:p>
        </w:tc>
        <w:tc>
          <w:tcPr/>
          <w:p>
            <w:pPr>
              <w:pStyle w:val="Compact"/>
            </w:pPr>
            <w:r>
              <w:rPr>
                <w:b/>
                <w:bCs/>
              </w:rPr>
              <w:t xml:space="preserve">Options:</w:t>
            </w:r>
          </w:p>
          <w:p>
            <w:pPr>
              <w:pStyle w:val="Compact"/>
              <w:numPr>
                <w:ilvl w:val="0"/>
                <w:numId w:val="1002"/>
              </w:numPr>
            </w:pPr>
            <w:r>
              <w:t xml:space="preserve">1: normal healthy patient</w:t>
            </w:r>
          </w:p>
          <w:p>
            <w:pPr>
              <w:pStyle w:val="Compact"/>
              <w:numPr>
                <w:ilvl w:val="0"/>
                <w:numId w:val="1002"/>
              </w:numPr>
            </w:pPr>
            <w:r>
              <w:t xml:space="preserve">2: mild systemic disease</w:t>
            </w:r>
          </w:p>
          <w:p>
            <w:pPr>
              <w:pStyle w:val="Compact"/>
              <w:numPr>
                <w:ilvl w:val="0"/>
                <w:numId w:val="1002"/>
              </w:numPr>
            </w:pPr>
            <w:r>
              <w:t xml:space="preserve">3: severe systemic disease</w:t>
            </w:r>
          </w:p>
          <w:p>
            <w:pPr>
              <w:pStyle w:val="Compact"/>
              <w:numPr>
                <w:ilvl w:val="0"/>
                <w:numId w:val="1002"/>
              </w:numPr>
            </w:pPr>
            <w:r>
              <w:t xml:space="preserve">4: severe systemic disease that is a constant threat to life (i.e., patient could die acutely without intervention)</w:t>
            </w:r>
          </w:p>
          <w:p>
            <w:pPr>
              <w:pStyle w:val="Compact"/>
              <w:numPr>
                <w:ilvl w:val="0"/>
                <w:numId w:val="1002"/>
              </w:numPr>
            </w:pPr>
            <w:r>
              <w:t xml:space="preserve">5: moribund, not expected to survive without surgery</w:t>
            </w:r>
          </w:p>
        </w:tc>
      </w:tr>
      <w:tr>
        <w:tc>
          <w:tcPr/>
          <w:p>
            <w:pPr>
              <w:pStyle w:val="FirstParagraph"/>
            </w:pPr>
            <w:r>
              <w:t xml:space="preserve">Creatinine</w:t>
            </w:r>
          </w:p>
          <w:p>
            <w:pPr>
              <w:pStyle w:val="BodyText"/>
            </w:pPr>
          </w:p>
        </w:tc>
        <w:tc>
          <w:tcPr/>
          <w:p>
            <w:pPr>
              <w:pStyle w:val="Compact"/>
            </w:pPr>
            <w:r>
              <w:rPr>
                <w:b/>
                <w:bCs/>
              </w:rPr>
              <w:t xml:space="preserve">Options:</w:t>
            </w:r>
          </w:p>
          <w:p>
            <w:pPr>
              <w:pStyle w:val="Compact"/>
              <w:numPr>
                <w:ilvl w:val="0"/>
                <w:numId w:val="1003"/>
              </w:numPr>
            </w:pPr>
            <w:r>
              <w:t xml:space="preserve">Normal (≤1.5 mg/dL, 133 µmol/L)</w:t>
            </w:r>
          </w:p>
          <w:p>
            <w:pPr>
              <w:pStyle w:val="Compact"/>
              <w:numPr>
                <w:ilvl w:val="0"/>
                <w:numId w:val="1003"/>
              </w:numPr>
            </w:pPr>
            <w:r>
              <w:t xml:space="preserve">Elevated (&gt;1.5 mg/dL, 133 µmol/L)</w:t>
            </w:r>
          </w:p>
          <w:p>
            <w:pPr>
              <w:pStyle w:val="Compact"/>
              <w:numPr>
                <w:ilvl w:val="0"/>
                <w:numId w:val="1003"/>
              </w:numPr>
            </w:pPr>
            <w:r>
              <w:t xml:space="preserve">Unknown</w:t>
            </w:r>
          </w:p>
        </w:tc>
      </w:tr>
      <w:tr>
        <w:tc>
          <w:tcPr/>
          <w:p>
            <w:pPr>
              <w:pStyle w:val="FirstParagraph"/>
            </w:pPr>
            <w:r>
              <w:t xml:space="preserve">Type of procedure</w:t>
            </w:r>
          </w:p>
          <w:p>
            <w:pPr>
              <w:pStyle w:val="BodyText"/>
            </w:pPr>
          </w:p>
        </w:tc>
        <w:tc>
          <w:tcPr/>
          <w:p>
            <w:pPr>
              <w:pStyle w:val="Compact"/>
            </w:pPr>
            <w:r>
              <w:rPr>
                <w:b/>
                <w:bCs/>
              </w:rPr>
              <w:t xml:space="preserve">Options:</w:t>
            </w:r>
          </w:p>
          <w:p>
            <w:pPr>
              <w:pStyle w:val="Compact"/>
              <w:numPr>
                <w:ilvl w:val="0"/>
                <w:numId w:val="1004"/>
              </w:numPr>
            </w:pPr>
            <w:r>
              <w:t xml:space="preserve">Anorectal</w:t>
            </w:r>
          </w:p>
          <w:p>
            <w:pPr>
              <w:pStyle w:val="Compact"/>
              <w:numPr>
                <w:ilvl w:val="0"/>
                <w:numId w:val="1004"/>
              </w:numPr>
            </w:pPr>
            <w:r>
              <w:t xml:space="preserve">Aortic</w:t>
            </w:r>
          </w:p>
          <w:p>
            <w:pPr>
              <w:pStyle w:val="Compact"/>
              <w:numPr>
                <w:ilvl w:val="0"/>
                <w:numId w:val="1004"/>
              </w:numPr>
            </w:pPr>
            <w:r>
              <w:t xml:space="preserve">Bariatric</w:t>
            </w:r>
          </w:p>
          <w:p>
            <w:pPr>
              <w:pStyle w:val="Compact"/>
              <w:numPr>
                <w:ilvl w:val="0"/>
                <w:numId w:val="1004"/>
              </w:numPr>
            </w:pPr>
            <w:r>
              <w:t xml:space="preserve">Brain</w:t>
            </w:r>
          </w:p>
          <w:p>
            <w:pPr>
              <w:pStyle w:val="Compact"/>
              <w:numPr>
                <w:ilvl w:val="0"/>
                <w:numId w:val="1004"/>
              </w:numPr>
            </w:pPr>
            <w:r>
              <w:t xml:space="preserve">Breast</w:t>
            </w:r>
          </w:p>
          <w:p>
            <w:pPr>
              <w:pStyle w:val="Compact"/>
              <w:numPr>
                <w:ilvl w:val="0"/>
                <w:numId w:val="1004"/>
              </w:numPr>
            </w:pPr>
            <w:r>
              <w:t xml:space="preserve">Cardiac</w:t>
            </w:r>
          </w:p>
          <w:p>
            <w:pPr>
              <w:pStyle w:val="Compact"/>
              <w:numPr>
                <w:ilvl w:val="0"/>
                <w:numId w:val="1004"/>
              </w:numPr>
            </w:pPr>
            <w:r>
              <w:t xml:space="preserve">ENT (except thyroid/parathyroid)</w:t>
            </w:r>
          </w:p>
          <w:p>
            <w:pPr>
              <w:pStyle w:val="Compact"/>
              <w:numPr>
                <w:ilvl w:val="0"/>
                <w:numId w:val="1004"/>
              </w:numPr>
            </w:pPr>
            <w:r>
              <w:t xml:space="preserve">Foregut (esophagus, stomach) or hepatopancreatobiliary</w:t>
            </w:r>
          </w:p>
          <w:p>
            <w:pPr>
              <w:pStyle w:val="Compact"/>
              <w:numPr>
                <w:ilvl w:val="0"/>
                <w:numId w:val="1004"/>
              </w:numPr>
            </w:pPr>
            <w:r>
              <w:t xml:space="preserve">Gallbladder, appendix, adrenals, or spleen</w:t>
            </w:r>
          </w:p>
          <w:p>
            <w:pPr>
              <w:pStyle w:val="Compact"/>
              <w:numPr>
                <w:ilvl w:val="0"/>
                <w:numId w:val="1004"/>
              </w:numPr>
            </w:pPr>
            <w:r>
              <w:t xml:space="preserve">Hernia (ventral, inguinal, femoral)</w:t>
            </w:r>
          </w:p>
          <w:p>
            <w:pPr>
              <w:pStyle w:val="Compact"/>
              <w:numPr>
                <w:ilvl w:val="0"/>
                <w:numId w:val="1004"/>
              </w:numPr>
            </w:pPr>
            <w:r>
              <w:t xml:space="preserve">Intestinal</w:t>
            </w:r>
          </w:p>
          <w:p>
            <w:pPr>
              <w:pStyle w:val="Compact"/>
              <w:numPr>
                <w:ilvl w:val="0"/>
                <w:numId w:val="1004"/>
              </w:numPr>
            </w:pPr>
            <w:r>
              <w:t xml:space="preserve">Neck (thyroid/parathyroid)</w:t>
            </w:r>
          </w:p>
          <w:p>
            <w:pPr>
              <w:pStyle w:val="Compact"/>
              <w:numPr>
                <w:ilvl w:val="0"/>
                <w:numId w:val="1004"/>
              </w:numPr>
            </w:pPr>
            <w:r>
              <w:t xml:space="preserve">Obstetric/gynecologic</w:t>
            </w:r>
          </w:p>
          <w:p>
            <w:pPr>
              <w:pStyle w:val="Compact"/>
              <w:numPr>
                <w:ilvl w:val="0"/>
                <w:numId w:val="1004"/>
              </w:numPr>
            </w:pPr>
            <w:r>
              <w:t xml:space="preserve">Orthopedic and non-vascular extremity</w:t>
            </w:r>
          </w:p>
          <w:p>
            <w:pPr>
              <w:pStyle w:val="Compact"/>
              <w:numPr>
                <w:ilvl w:val="0"/>
                <w:numId w:val="1004"/>
              </w:numPr>
            </w:pPr>
            <w:r>
              <w:t xml:space="preserve">Other abdominal</w:t>
            </w:r>
          </w:p>
          <w:p>
            <w:pPr>
              <w:pStyle w:val="Compact"/>
              <w:numPr>
                <w:ilvl w:val="0"/>
                <w:numId w:val="1004"/>
              </w:numPr>
            </w:pPr>
            <w:r>
              <w:t xml:space="preserve">Peripheral vascular</w:t>
            </w:r>
          </w:p>
          <w:p>
            <w:pPr>
              <w:pStyle w:val="Compact"/>
              <w:numPr>
                <w:ilvl w:val="0"/>
                <w:numId w:val="1004"/>
              </w:numPr>
            </w:pPr>
            <w:r>
              <w:t xml:space="preserve">Skin</w:t>
            </w:r>
          </w:p>
          <w:p>
            <w:pPr>
              <w:pStyle w:val="Compact"/>
              <w:numPr>
                <w:ilvl w:val="0"/>
                <w:numId w:val="1004"/>
              </w:numPr>
            </w:pPr>
            <w:r>
              <w:t xml:space="preserve">Spine</w:t>
            </w:r>
          </w:p>
          <w:p>
            <w:pPr>
              <w:pStyle w:val="Compact"/>
              <w:numPr>
                <w:ilvl w:val="0"/>
                <w:numId w:val="1004"/>
              </w:numPr>
            </w:pPr>
            <w:r>
              <w:t xml:space="preserve">Non-esophageal thoracic (lung, mediastinum, etc)</w:t>
            </w:r>
          </w:p>
          <w:p>
            <w:pPr>
              <w:pStyle w:val="Compact"/>
              <w:numPr>
                <w:ilvl w:val="0"/>
                <w:numId w:val="1004"/>
              </w:numPr>
            </w:pPr>
            <w:r>
              <w:t xml:space="preserve">Vein</w:t>
            </w:r>
          </w:p>
          <w:p>
            <w:pPr>
              <w:pStyle w:val="Compact"/>
              <w:numPr>
                <w:ilvl w:val="0"/>
                <w:numId w:val="1004"/>
              </w:numPr>
            </w:pPr>
            <w:r>
              <w:t xml:space="preserve">Urology</w:t>
            </w:r>
          </w:p>
        </w:tc>
      </w:tr>
    </w:tbl>
    <w:bookmarkEnd w:id="20"/>
    <w:bookmarkStart w:id="21" w:name="formula"/>
    <w:p>
      <w:pPr>
        <w:pStyle w:val="Heading2"/>
      </w:pPr>
      <w:r>
        <w:t xml:space="preserve">FORMULA</w:t>
      </w:r>
    </w:p>
    <w:p>
      <w:pPr>
        <w:pStyle w:val="FirstParagraph"/>
      </w:pPr>
      <w:r>
        <w:t xml:space="preserve">Cardiac risk, % = e</w:t>
      </w:r>
      <w:r>
        <w:rPr>
          <w:i/>
          <w:iCs/>
          <w:vertAlign w:val="superscript"/>
        </w:rPr>
        <w:t xml:space="preserve">x</w:t>
      </w:r>
      <w:r>
        <w:t xml:space="preserve"> </w:t>
      </w:r>
      <w:r>
        <w:t xml:space="preserve">/ (1 + e</w:t>
      </w:r>
      <w:r>
        <w:rPr>
          <w:i/>
          <w:iCs/>
          <w:vertAlign w:val="superscript"/>
        </w:rPr>
        <w:t xml:space="preserve">x</w:t>
      </w:r>
      <w:r>
        <w:t xml:space="preserve">)</w:t>
      </w:r>
    </w:p>
    <w:p>
      <w:pPr>
        <w:pStyle w:val="BodyText"/>
      </w:pPr>
      <w:r>
        <w:t xml:space="preserve">Where x = −5.25 + sum of the values of the selected variables.</w:t>
      </w:r>
    </w:p>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Variable</w:t>
            </w:r>
          </w:p>
        </w:tc>
        <w:tc>
          <w:tcPr/>
          <w:p>
            <w:pPr>
              <w:pStyle w:val="Compact"/>
            </w:pPr>
            <w:r>
              <w:rPr>
                <w:b/>
                <w:bCs/>
              </w:rPr>
              <w:t xml:space="preserve">Options</w:t>
            </w:r>
          </w:p>
        </w:tc>
        <w:tc>
          <w:tcPr/>
          <w:p>
            <w:pPr>
              <w:pStyle w:val="BodyText"/>
            </w:pPr>
            <w:r>
              <w:rPr>
                <w:b/>
                <w:bCs/>
              </w:rPr>
              <w:t xml:space="preserve">Value</w:t>
            </w:r>
          </w:p>
        </w:tc>
      </w:tr>
      <w:tr>
        <w:tc>
          <w:tcPr>
            <w:gridSpan w:val="2"/>
          </w:tcPr>
          <w:p>
            <w:pPr>
              <w:pStyle w:val="BodyText"/>
            </w:pPr>
            <w:r>
              <w:t xml:space="preserve">Age per year of increase</w:t>
            </w:r>
          </w:p>
        </w:tc>
        <w:tc>
          <w:tcPr/>
          <w:p>
            <w:pPr>
              <w:pStyle w:val="BodyText"/>
            </w:pPr>
            <w:r>
              <w:t xml:space="preserve">Age x 0.02</w:t>
            </w:r>
          </w:p>
        </w:tc>
      </w:tr>
      <w:tr>
        <w:tc>
          <w:tcPr>
            <w:vMerge w:val="restart"/>
          </w:tcPr>
          <w:p>
            <w:pPr>
              <w:pStyle w:val="BodyText"/>
            </w:pPr>
            <w:r>
              <w:t xml:space="preserve">Functional status</w:t>
            </w:r>
          </w:p>
        </w:tc>
        <w:tc>
          <w:tcPr/>
          <w:p>
            <w:pPr>
              <w:pStyle w:val="BodyText"/>
            </w:pPr>
            <w:r>
              <w:t xml:space="preserve">Independent</w:t>
            </w:r>
          </w:p>
        </w:tc>
        <w:tc>
          <w:tcPr/>
          <w:p>
            <w:pPr>
              <w:pStyle w:val="BodyText"/>
            </w:pPr>
            <w:r>
              <w:t xml:space="preserve">0</w:t>
            </w:r>
          </w:p>
        </w:tc>
      </w:tr>
      <w:tr>
        <w:tc>
          <w:tcPr>
            <w:gridSpan w:val="1"/>
            <w:vMerge w:val="continue"/>
          </w:tcPr>
          <w:p>
            <w:pPr/>
          </w:p>
        </w:tc>
        <w:tc>
          <w:tcPr/>
          <w:p>
            <w:pPr>
              <w:pStyle w:val="BodyText"/>
            </w:pPr>
            <w:r>
              <w:t xml:space="preserve">Partially dependent</w:t>
            </w:r>
          </w:p>
        </w:tc>
        <w:tc>
          <w:tcPr/>
          <w:p>
            <w:pPr>
              <w:pStyle w:val="BodyText"/>
            </w:pPr>
            <w:r>
              <w:t xml:space="preserve">0.65</w:t>
            </w:r>
          </w:p>
        </w:tc>
      </w:tr>
      <w:tr>
        <w:tc>
          <w:tcPr>
            <w:gridSpan w:val="1"/>
            <w:vMerge w:val="continue"/>
          </w:tcPr>
          <w:p>
            <w:pPr/>
          </w:p>
        </w:tc>
        <w:tc>
          <w:tcPr/>
          <w:p>
            <w:pPr>
              <w:pStyle w:val="BodyText"/>
            </w:pPr>
            <w:r>
              <w:t xml:space="preserve">Totally dependent</w:t>
            </w:r>
          </w:p>
        </w:tc>
        <w:tc>
          <w:tcPr/>
          <w:p>
            <w:pPr>
              <w:pStyle w:val="BodyText"/>
            </w:pPr>
            <w:r>
              <w:t xml:space="preserve">1.03</w:t>
            </w:r>
          </w:p>
        </w:tc>
      </w:tr>
      <w:tr>
        <w:tc>
          <w:tcPr>
            <w:vMerge w:val="restart"/>
          </w:tcPr>
          <w:p>
            <w:pPr>
              <w:pStyle w:val="BodyText"/>
            </w:pPr>
            <w:r>
              <w:t xml:space="preserve">ASA class</w:t>
            </w:r>
          </w:p>
        </w:tc>
        <w:tc>
          <w:tcPr/>
          <w:p>
            <w:pPr>
              <w:pStyle w:val="BodyText"/>
            </w:pPr>
            <w:r>
              <w:t xml:space="preserve">1: normal healthy patient</w:t>
            </w:r>
          </w:p>
        </w:tc>
        <w:tc>
          <w:tcPr/>
          <w:p>
            <w:pPr>
              <w:pStyle w:val="BodyText"/>
            </w:pPr>
            <w:r>
              <w:t xml:space="preserve">−5.17</w:t>
            </w:r>
          </w:p>
        </w:tc>
      </w:tr>
      <w:tr>
        <w:tc>
          <w:tcPr>
            <w:gridSpan w:val="1"/>
            <w:vMerge w:val="continue"/>
          </w:tcPr>
          <w:p>
            <w:pPr/>
          </w:p>
        </w:tc>
        <w:tc>
          <w:tcPr/>
          <w:p>
            <w:pPr>
              <w:pStyle w:val="BodyText"/>
            </w:pPr>
            <w:r>
              <w:t xml:space="preserve">2: mild systemic disease</w:t>
            </w:r>
          </w:p>
        </w:tc>
        <w:tc>
          <w:tcPr/>
          <w:p>
            <w:pPr>
              <w:pStyle w:val="BodyText"/>
            </w:pPr>
            <w:r>
              <w:t xml:space="preserve">−3.29</w:t>
            </w:r>
          </w:p>
        </w:tc>
      </w:tr>
      <w:tr>
        <w:tc>
          <w:tcPr>
            <w:gridSpan w:val="1"/>
            <w:vMerge w:val="continue"/>
          </w:tcPr>
          <w:p>
            <w:pPr/>
          </w:p>
        </w:tc>
        <w:tc>
          <w:tcPr/>
          <w:p>
            <w:pPr>
              <w:pStyle w:val="Compact"/>
            </w:pPr>
            <w:r>
              <w:t xml:space="preserve">3: severe systemic disease</w:t>
            </w:r>
          </w:p>
        </w:tc>
        <w:tc>
          <w:tcPr/>
          <w:p>
            <w:pPr>
              <w:pStyle w:val="BodyText"/>
            </w:pPr>
            <w:r>
              <w:t xml:space="preserve">−1.92</w:t>
            </w:r>
          </w:p>
        </w:tc>
      </w:tr>
      <w:tr>
        <w:tc>
          <w:tcPr>
            <w:gridSpan w:val="1"/>
            <w:vMerge w:val="continue"/>
          </w:tcPr>
          <w:p>
            <w:pPr/>
          </w:p>
        </w:tc>
        <w:tc>
          <w:tcPr/>
          <w:p>
            <w:pPr>
              <w:pStyle w:val="BodyText"/>
            </w:pPr>
            <w:r>
              <w:t xml:space="preserve">4: severe systemic disease that is a constant threat to life*</w:t>
            </w:r>
          </w:p>
        </w:tc>
        <w:tc>
          <w:tcPr/>
          <w:p>
            <w:pPr>
              <w:pStyle w:val="BodyText"/>
            </w:pPr>
            <w:r>
              <w:t xml:space="preserve">−0.95</w:t>
            </w:r>
          </w:p>
        </w:tc>
      </w:tr>
      <w:tr>
        <w:tc>
          <w:tcPr>
            <w:gridSpan w:val="1"/>
            <w:vMerge w:val="continue"/>
          </w:tcPr>
          <w:p>
            <w:pPr/>
          </w:p>
        </w:tc>
        <w:tc>
          <w:tcPr/>
          <w:p>
            <w:pPr>
              <w:pStyle w:val="BodyText"/>
            </w:pPr>
            <w:r>
              <w:t xml:space="preserve">5: moribund, not expected to survive without surgery</w:t>
            </w:r>
          </w:p>
        </w:tc>
        <w:tc>
          <w:tcPr/>
          <w:p>
            <w:pPr>
              <w:pStyle w:val="BodyText"/>
            </w:pPr>
            <w:r>
              <w:t xml:space="preserve">0</w:t>
            </w:r>
          </w:p>
        </w:tc>
      </w:tr>
      <w:tr>
        <w:tc>
          <w:tcPr>
            <w:vMerge w:val="restart"/>
          </w:tcPr>
          <w:p>
            <w:pPr>
              <w:pStyle w:val="BodyText"/>
            </w:pPr>
            <w:r>
              <w:t xml:space="preserve">Creatinine</w:t>
            </w:r>
          </w:p>
        </w:tc>
        <w:tc>
          <w:tcPr/>
          <w:p>
            <w:pPr>
              <w:pStyle w:val="BodyText"/>
            </w:pPr>
            <w:r>
              <w:t xml:space="preserve">Normal (≤1.5 mg/dL, 133 µmol/L)</w:t>
            </w:r>
          </w:p>
        </w:tc>
        <w:tc>
          <w:tcPr/>
          <w:p>
            <w:pPr>
              <w:pStyle w:val="BodyText"/>
            </w:pPr>
            <w:r>
              <w:t xml:space="preserve">0</w:t>
            </w:r>
          </w:p>
        </w:tc>
      </w:tr>
      <w:tr>
        <w:tc>
          <w:tcPr>
            <w:gridSpan w:val="1"/>
            <w:vMerge w:val="continue"/>
          </w:tcPr>
          <w:p>
            <w:pPr/>
          </w:p>
        </w:tc>
        <w:tc>
          <w:tcPr/>
          <w:p>
            <w:pPr>
              <w:pStyle w:val="BodyText"/>
            </w:pPr>
            <w:r>
              <w:t xml:space="preserve">Elevated (&gt;1.5 mg/dL, 133 µmol/L)</w:t>
            </w:r>
          </w:p>
        </w:tc>
        <w:tc>
          <w:tcPr/>
          <w:p>
            <w:pPr>
              <w:pStyle w:val="BodyText"/>
            </w:pPr>
            <w:r>
              <w:t xml:space="preserve">0.61</w:t>
            </w:r>
          </w:p>
        </w:tc>
      </w:tr>
      <w:tr>
        <w:tc>
          <w:tcPr>
            <w:gridSpan w:val="1"/>
            <w:vMerge w:val="continue"/>
          </w:tcPr>
          <w:p>
            <w:pPr/>
          </w:p>
        </w:tc>
        <w:tc>
          <w:tcPr/>
          <w:p>
            <w:pPr>
              <w:pStyle w:val="BodyText"/>
            </w:pPr>
            <w:r>
              <w:t xml:space="preserve">Unknown</w:t>
            </w:r>
          </w:p>
        </w:tc>
        <w:tc>
          <w:tcPr/>
          <w:p>
            <w:pPr>
              <w:pStyle w:val="BodyText"/>
            </w:pPr>
            <w:r>
              <w:t xml:space="preserve">−0.10</w:t>
            </w:r>
          </w:p>
        </w:tc>
      </w:tr>
      <w:tr>
        <w:tc>
          <w:tcPr>
            <w:vMerge w:val="restart"/>
          </w:tcPr>
          <w:p>
            <w:pPr>
              <w:pStyle w:val="BodyText"/>
            </w:pPr>
            <w:r>
              <w:t xml:space="preserve">Type of procedure</w:t>
            </w:r>
          </w:p>
        </w:tc>
        <w:tc>
          <w:tcPr/>
          <w:p>
            <w:pPr>
              <w:pStyle w:val="BodyText"/>
            </w:pPr>
            <w:r>
              <w:t xml:space="preserve">Anorectal</w:t>
            </w:r>
          </w:p>
        </w:tc>
        <w:tc>
          <w:tcPr/>
          <w:p>
            <w:pPr>
              <w:pStyle w:val="BodyText"/>
            </w:pPr>
            <w:r>
              <w:t xml:space="preserve">−0.16</w:t>
            </w:r>
          </w:p>
        </w:tc>
      </w:tr>
      <w:tr>
        <w:tc>
          <w:tcPr>
            <w:gridSpan w:val="1"/>
            <w:vMerge w:val="continue"/>
          </w:tcPr>
          <w:p>
            <w:pPr/>
          </w:p>
        </w:tc>
        <w:tc>
          <w:tcPr/>
          <w:p>
            <w:pPr>
              <w:pStyle w:val="BodyText"/>
            </w:pPr>
            <w:r>
              <w:t xml:space="preserve">Aortic</w:t>
            </w:r>
          </w:p>
        </w:tc>
        <w:tc>
          <w:tcPr/>
          <w:p>
            <w:pPr>
              <w:pStyle w:val="BodyText"/>
            </w:pPr>
            <w:r>
              <w:t xml:space="preserve">1.60</w:t>
            </w:r>
          </w:p>
        </w:tc>
      </w:tr>
      <w:tr>
        <w:tc>
          <w:tcPr>
            <w:gridSpan w:val="1"/>
            <w:vMerge w:val="continue"/>
          </w:tcPr>
          <w:p>
            <w:pPr/>
          </w:p>
        </w:tc>
        <w:tc>
          <w:tcPr/>
          <w:p>
            <w:pPr>
              <w:pStyle w:val="BodyText"/>
            </w:pPr>
            <w:r>
              <w:t xml:space="preserve">Bariatric</w:t>
            </w:r>
          </w:p>
        </w:tc>
        <w:tc>
          <w:tcPr/>
          <w:p>
            <w:pPr>
              <w:pStyle w:val="BodyText"/>
            </w:pPr>
            <w:r>
              <w:t xml:space="preserve">−0.25</w:t>
            </w:r>
          </w:p>
        </w:tc>
      </w:tr>
      <w:tr>
        <w:tc>
          <w:tcPr>
            <w:gridSpan w:val="1"/>
            <w:vMerge w:val="continue"/>
          </w:tcPr>
          <w:p>
            <w:pPr/>
          </w:p>
        </w:tc>
        <w:tc>
          <w:tcPr/>
          <w:p>
            <w:pPr>
              <w:pStyle w:val="BodyText"/>
            </w:pPr>
            <w:r>
              <w:t xml:space="preserve">Brain</w:t>
            </w:r>
          </w:p>
        </w:tc>
        <w:tc>
          <w:tcPr/>
          <w:p>
            <w:pPr>
              <w:pStyle w:val="BodyText"/>
            </w:pPr>
            <w:r>
              <w:t xml:space="preserve">1.40</w:t>
            </w:r>
          </w:p>
        </w:tc>
      </w:tr>
      <w:tr>
        <w:tc>
          <w:tcPr>
            <w:gridSpan w:val="1"/>
            <w:vMerge w:val="continue"/>
          </w:tcPr>
          <w:p>
            <w:pPr/>
          </w:p>
        </w:tc>
        <w:tc>
          <w:tcPr/>
          <w:p>
            <w:pPr>
              <w:pStyle w:val="BodyText"/>
            </w:pPr>
            <w:r>
              <w:t xml:space="preserve">Breast</w:t>
            </w:r>
          </w:p>
        </w:tc>
        <w:tc>
          <w:tcPr/>
          <w:p>
            <w:pPr>
              <w:pStyle w:val="BodyText"/>
            </w:pPr>
            <w:r>
              <w:t xml:space="preserve">−1.61</w:t>
            </w:r>
          </w:p>
        </w:tc>
      </w:tr>
      <w:tr>
        <w:tc>
          <w:tcPr>
            <w:gridSpan w:val="1"/>
            <w:vMerge w:val="continue"/>
          </w:tcPr>
          <w:p>
            <w:pPr/>
          </w:p>
        </w:tc>
        <w:tc>
          <w:tcPr/>
          <w:p>
            <w:pPr>
              <w:pStyle w:val="BodyText"/>
            </w:pPr>
            <w:r>
              <w:t xml:space="preserve">Cardiac</w:t>
            </w:r>
          </w:p>
        </w:tc>
        <w:tc>
          <w:tcPr/>
          <w:p>
            <w:pPr>
              <w:pStyle w:val="BodyText"/>
            </w:pPr>
            <w:r>
              <w:t xml:space="preserve">1.01</w:t>
            </w:r>
          </w:p>
        </w:tc>
      </w:tr>
      <w:tr>
        <w:tc>
          <w:tcPr>
            <w:gridSpan w:val="1"/>
            <w:vMerge w:val="continue"/>
          </w:tcPr>
          <w:p>
            <w:pPr/>
          </w:p>
        </w:tc>
        <w:tc>
          <w:tcPr/>
          <w:p>
            <w:pPr>
              <w:pStyle w:val="BodyText"/>
            </w:pPr>
            <w:r>
              <w:t xml:space="preserve">ENT (except thyroid/parathyroid)</w:t>
            </w:r>
          </w:p>
        </w:tc>
        <w:tc>
          <w:tcPr/>
          <w:p>
            <w:pPr>
              <w:pStyle w:val="BodyText"/>
            </w:pPr>
            <w:r>
              <w:t xml:space="preserve">0.71</w:t>
            </w:r>
          </w:p>
        </w:tc>
      </w:tr>
      <w:tr>
        <w:tc>
          <w:tcPr>
            <w:gridSpan w:val="1"/>
            <w:vMerge w:val="continue"/>
          </w:tcPr>
          <w:p>
            <w:pPr/>
          </w:p>
        </w:tc>
        <w:tc>
          <w:tcPr/>
          <w:p>
            <w:pPr>
              <w:pStyle w:val="BodyText"/>
            </w:pPr>
            <w:r>
              <w:t xml:space="preserve">Foregut or hepatopancreatobiliary</w:t>
            </w:r>
          </w:p>
        </w:tc>
        <w:tc>
          <w:tcPr/>
          <w:p>
            <w:pPr>
              <w:pStyle w:val="BodyText"/>
            </w:pPr>
            <w:r>
              <w:t xml:space="preserve">1.39</w:t>
            </w:r>
          </w:p>
        </w:tc>
      </w:tr>
      <w:tr>
        <w:tc>
          <w:tcPr>
            <w:gridSpan w:val="1"/>
            <w:vMerge w:val="continue"/>
          </w:tcPr>
          <w:p>
            <w:pPr/>
          </w:p>
        </w:tc>
        <w:tc>
          <w:tcPr/>
          <w:p>
            <w:pPr>
              <w:pStyle w:val="BodyText"/>
            </w:pPr>
            <w:r>
              <w:t xml:space="preserve">Gallbladder, appendix, adrenals, or spleen</w:t>
            </w:r>
          </w:p>
        </w:tc>
        <w:tc>
          <w:tcPr/>
          <w:p>
            <w:pPr>
              <w:pStyle w:val="BodyText"/>
            </w:pPr>
            <w:r>
              <w:t xml:space="preserve">0.59</w:t>
            </w:r>
          </w:p>
        </w:tc>
      </w:tr>
      <w:tr>
        <w:tc>
          <w:tcPr>
            <w:gridSpan w:val="1"/>
            <w:vMerge w:val="continue"/>
          </w:tcPr>
          <w:p>
            <w:pPr/>
          </w:p>
        </w:tc>
        <w:tc>
          <w:tcPr/>
          <w:p>
            <w:pPr>
              <w:pStyle w:val="BodyText"/>
            </w:pPr>
            <w:r>
              <w:t xml:space="preserve">Hernia (ventral, inguinal, femoral)</w:t>
            </w:r>
          </w:p>
        </w:tc>
        <w:tc>
          <w:tcPr/>
          <w:p>
            <w:pPr>
              <w:pStyle w:val="BodyText"/>
            </w:pPr>
            <w:r>
              <w:t xml:space="preserve">0</w:t>
            </w:r>
          </w:p>
        </w:tc>
      </w:tr>
      <w:tr>
        <w:tc>
          <w:tcPr>
            <w:gridSpan w:val="1"/>
            <w:vMerge w:val="continue"/>
          </w:tcPr>
          <w:p>
            <w:pPr/>
          </w:p>
        </w:tc>
        <w:tc>
          <w:tcPr/>
          <w:p>
            <w:pPr>
              <w:pStyle w:val="BodyText"/>
            </w:pPr>
            <w:r>
              <w:t xml:space="preserve">Intestinal</w:t>
            </w:r>
          </w:p>
        </w:tc>
        <w:tc>
          <w:tcPr/>
          <w:p>
            <w:pPr>
              <w:pStyle w:val="BodyText"/>
            </w:pPr>
            <w:r>
              <w:t xml:space="preserve">1.14</w:t>
            </w:r>
          </w:p>
        </w:tc>
      </w:tr>
      <w:tr>
        <w:tc>
          <w:tcPr>
            <w:gridSpan w:val="1"/>
            <w:vMerge w:val="continue"/>
          </w:tcPr>
          <w:p>
            <w:pPr/>
          </w:p>
        </w:tc>
        <w:tc>
          <w:tcPr/>
          <w:p>
            <w:pPr>
              <w:pStyle w:val="BodyText"/>
            </w:pPr>
            <w:r>
              <w:t xml:space="preserve">Neck (thyroid/parathyroid)</w:t>
            </w:r>
          </w:p>
        </w:tc>
        <w:tc>
          <w:tcPr/>
          <w:p>
            <w:pPr>
              <w:pStyle w:val="BodyText"/>
            </w:pPr>
            <w:r>
              <w:t xml:space="preserve">0.18</w:t>
            </w:r>
          </w:p>
        </w:tc>
      </w:tr>
      <w:tr>
        <w:tc>
          <w:tcPr>
            <w:gridSpan w:val="1"/>
            <w:vMerge w:val="continue"/>
          </w:tcPr>
          <w:p>
            <w:pPr/>
          </w:p>
        </w:tc>
        <w:tc>
          <w:tcPr/>
          <w:p>
            <w:pPr>
              <w:pStyle w:val="BodyText"/>
            </w:pPr>
            <w:r>
              <w:t xml:space="preserve">Obstetric/gynecologic</w:t>
            </w:r>
          </w:p>
        </w:tc>
        <w:tc>
          <w:tcPr/>
          <w:p>
            <w:pPr>
              <w:pStyle w:val="BodyText"/>
            </w:pPr>
            <w:r>
              <w:t xml:space="preserve">0.76</w:t>
            </w:r>
          </w:p>
        </w:tc>
      </w:tr>
      <w:tr>
        <w:tc>
          <w:tcPr>
            <w:gridSpan w:val="1"/>
            <w:vMerge w:val="continue"/>
          </w:tcPr>
          <w:p>
            <w:pPr/>
          </w:p>
        </w:tc>
        <w:tc>
          <w:tcPr/>
          <w:p>
            <w:pPr>
              <w:pStyle w:val="BodyText"/>
            </w:pPr>
            <w:r>
              <w:t xml:space="preserve">Orthopedic and non-vascular extremity</w:t>
            </w:r>
          </w:p>
        </w:tc>
        <w:tc>
          <w:tcPr/>
          <w:p>
            <w:pPr>
              <w:pStyle w:val="BodyText"/>
            </w:pPr>
            <w:r>
              <w:t xml:space="preserve">0.80</w:t>
            </w:r>
          </w:p>
        </w:tc>
      </w:tr>
      <w:tr>
        <w:tc>
          <w:tcPr>
            <w:gridSpan w:val="1"/>
            <w:vMerge w:val="continue"/>
          </w:tcPr>
          <w:p>
            <w:pPr/>
          </w:p>
        </w:tc>
        <w:tc>
          <w:tcPr/>
          <w:p>
            <w:pPr>
              <w:pStyle w:val="BodyText"/>
            </w:pPr>
            <w:r>
              <w:t xml:space="preserve">Other abdominal</w:t>
            </w:r>
          </w:p>
        </w:tc>
        <w:tc>
          <w:tcPr/>
          <w:p>
            <w:pPr>
              <w:pStyle w:val="BodyText"/>
            </w:pPr>
            <w:r>
              <w:t xml:space="preserve">1.13</w:t>
            </w:r>
          </w:p>
        </w:tc>
      </w:tr>
      <w:tr>
        <w:tc>
          <w:tcPr>
            <w:gridSpan w:val="1"/>
            <w:vMerge w:val="continue"/>
          </w:tcPr>
          <w:p>
            <w:pPr/>
          </w:p>
        </w:tc>
        <w:tc>
          <w:tcPr/>
          <w:p>
            <w:pPr>
              <w:pStyle w:val="BodyText"/>
            </w:pPr>
            <w:r>
              <w:t xml:space="preserve">Peripheral vascular**</w:t>
            </w:r>
          </w:p>
        </w:tc>
        <w:tc>
          <w:tcPr/>
          <w:p>
            <w:pPr>
              <w:pStyle w:val="BodyText"/>
            </w:pPr>
            <w:r>
              <w:t xml:space="preserve">0.86</w:t>
            </w:r>
          </w:p>
        </w:tc>
      </w:tr>
      <w:tr>
        <w:tc>
          <w:tcPr>
            <w:gridSpan w:val="1"/>
            <w:vMerge w:val="continue"/>
          </w:tcPr>
          <w:p>
            <w:pPr/>
          </w:p>
        </w:tc>
        <w:tc>
          <w:tcPr/>
          <w:p>
            <w:pPr>
              <w:pStyle w:val="BodyText"/>
            </w:pPr>
            <w:r>
              <w:t xml:space="preserve">Skin</w:t>
            </w:r>
          </w:p>
        </w:tc>
        <w:tc>
          <w:tcPr/>
          <w:p>
            <w:pPr>
              <w:pStyle w:val="BodyText"/>
            </w:pPr>
            <w:r>
              <w:t xml:space="preserve">0.54</w:t>
            </w:r>
          </w:p>
        </w:tc>
      </w:tr>
      <w:tr>
        <w:tc>
          <w:tcPr>
            <w:gridSpan w:val="1"/>
            <w:vMerge w:val="continue"/>
          </w:tcPr>
          <w:p>
            <w:pPr/>
          </w:p>
        </w:tc>
        <w:tc>
          <w:tcPr/>
          <w:p>
            <w:pPr>
              <w:pStyle w:val="BodyText"/>
            </w:pPr>
            <w:r>
              <w:t xml:space="preserve">Spine</w:t>
            </w:r>
          </w:p>
        </w:tc>
        <w:tc>
          <w:tcPr/>
          <w:p>
            <w:pPr>
              <w:pStyle w:val="BodyText"/>
            </w:pPr>
            <w:r>
              <w:t xml:space="preserve">0.21</w:t>
            </w:r>
          </w:p>
        </w:tc>
      </w:tr>
      <w:tr>
        <w:tc>
          <w:tcPr>
            <w:gridSpan w:val="1"/>
            <w:vMerge w:val="continue"/>
          </w:tcPr>
          <w:p>
            <w:pPr/>
          </w:p>
        </w:tc>
        <w:tc>
          <w:tcPr/>
          <w:p>
            <w:pPr>
              <w:pStyle w:val="BodyText"/>
            </w:pPr>
            <w:r>
              <w:t xml:space="preserve">Non-esophageal thoracic</w:t>
            </w:r>
          </w:p>
        </w:tc>
        <w:tc>
          <w:tcPr/>
          <w:p>
            <w:pPr>
              <w:pStyle w:val="BodyText"/>
            </w:pPr>
            <w:r>
              <w:t xml:space="preserve">0.40</w:t>
            </w:r>
          </w:p>
        </w:tc>
      </w:tr>
      <w:tr>
        <w:tc>
          <w:tcPr>
            <w:gridSpan w:val="1"/>
            <w:vMerge w:val="continue"/>
          </w:tcPr>
          <w:p>
            <w:pPr/>
          </w:p>
        </w:tc>
        <w:tc>
          <w:tcPr/>
          <w:p>
            <w:pPr>
              <w:pStyle w:val="BodyText"/>
            </w:pPr>
            <w:r>
              <w:t xml:space="preserve">Vein</w:t>
            </w:r>
          </w:p>
        </w:tc>
        <w:tc>
          <w:tcPr/>
          <w:p>
            <w:pPr>
              <w:pStyle w:val="BodyText"/>
            </w:pPr>
            <w:r>
              <w:t xml:space="preserve">−1.09</w:t>
            </w:r>
          </w:p>
        </w:tc>
      </w:tr>
      <w:tr>
        <w:tc>
          <w:tcPr>
            <w:gridSpan w:val="1"/>
            <w:vMerge w:val="continue"/>
          </w:tcPr>
          <w:p>
            <w:pPr/>
          </w:p>
        </w:tc>
        <w:tc>
          <w:tcPr/>
          <w:p>
            <w:pPr>
              <w:pStyle w:val="BodyText"/>
            </w:pPr>
            <w:r>
              <w:t xml:space="preserve">Urology</w:t>
            </w:r>
          </w:p>
        </w:tc>
        <w:tc>
          <w:tcPr/>
          <w:p>
            <w:pPr>
              <w:pStyle w:val="BodyText"/>
            </w:pPr>
            <w:r>
              <w:t xml:space="preserve">−0.26</w:t>
            </w:r>
          </w:p>
        </w:tc>
      </w:tr>
    </w:tbl>
    <w:p>
      <w:pPr>
        <w:pStyle w:val="BodyText"/>
      </w:pPr>
      <w:r>
        <w:t xml:space="preserve">*i.e., patient could die acutely without intervention.</w:t>
      </w:r>
    </w:p>
    <w:p>
      <w:pPr>
        <w:pStyle w:val="BodyText"/>
      </w:pPr>
      <w:r>
        <w:t xml:space="preserve">**Non-aortic, non-vein vascular surgeries.</w:t>
      </w:r>
    </w:p>
    <w:bookmarkEnd w:id="21"/>
    <w:bookmarkStart w:id="22" w:name="facts-figures"/>
    <w:p>
      <w:pPr>
        <w:pStyle w:val="Heading2"/>
      </w:pPr>
      <w:r>
        <w:t xml:space="preserve">FACTS &amp; FIGURES</w:t>
      </w:r>
    </w:p>
    <w:bookmarkEnd w:id="22"/>
    <w:bookmarkStart w:id="26" w:name="evidence-appraisal"/>
    <w:p>
      <w:pPr>
        <w:pStyle w:val="Heading2"/>
      </w:pPr>
      <w:r>
        <w:t xml:space="preserve">EVIDENCE APPRAISAL</w:t>
      </w:r>
    </w:p>
    <w:p>
      <w:pPr>
        <w:pStyle w:val="FirstParagraph"/>
      </w:pPr>
      <w:hyperlink r:id="rId23">
        <w:r>
          <w:rPr>
            <w:rStyle w:val="Hyperlink"/>
          </w:rPr>
          <w:t xml:space="preserve">Gupta et al (2011)</w:t>
        </w:r>
      </w:hyperlink>
      <w:r>
        <w:t xml:space="preserve"> </w:t>
      </w:r>
      <w:r>
        <w:t xml:space="preserve">used the NSQIP database to identify risk factors associated with intra- or postoperative MI or cardiac arrest in over 200,000 patients. Compared with other risk calculators, the Gupta Perioperative Risk Score (also sometimes called the MICA or Myocardial Infarction/Cardiac Arrest Score) factors in higher usage of minimally invasive surgery and differentiates between organ system and type of surgery. However, this score was only validated retrospectively, and therefore likely underestimates myocardial ischemia. Further, stress test results and beta-blocker therapy status were not a part of the NSQIP database data used to derive this score.</w:t>
      </w:r>
    </w:p>
    <w:p>
      <w:pPr>
        <w:pStyle w:val="BodyText"/>
      </w:pPr>
      <w:bookmarkStart w:id="25" w:name="X3bdd2f957bcf3bf00b41ba3c5193ec097d71928"/>
      <w:r>
        <w:t xml:space="preserve">Like the Gupta Score, the ACS NSQIP Surgical Risk Calculator predicts either myocardial infarction or cardiac arrest within 30 days of surgery, and has been shown to perform well in patients undergoing low-risk procedures or those with a shorter duration length of stay. The Gupta Score selects fewer patients as elevated risk compared to the ACS NSQIP Surgical Risk Calculator or the RCRI. RCRI tends to overestimate risk in lower risk patients; therefore, it is suggested to use ACS NSQIP or Gupta Score calculators for that group of patients (</w:t>
      </w:r>
      <w:hyperlink r:id="rId24">
        <w:r>
          <w:rPr>
            <w:rStyle w:val="Hyperlink"/>
          </w:rPr>
          <w:t xml:space="preserve">Cohn 2018</w:t>
        </w:r>
      </w:hyperlink>
      <w:r>
        <w:t xml:space="preserve">).</w:t>
      </w:r>
      <w:bookmarkEnd w:id="25"/>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irc.ahajournals.org/content/124/4/381#xref-fn-9-1" TargetMode="External" /><Relationship Type="http://schemas.openxmlformats.org/officeDocument/2006/relationships/hyperlink" Id="rId24" Target="https://www.ncbi.nlm.nih.gov/pubmed/29126584" TargetMode="External" /></Relationships>
</file>

<file path=word/_rels/footnotes.xml.rels><?xml version="1.0" encoding="UTF-8"?><Relationships xmlns="http://schemas.openxmlformats.org/package/2006/relationships"><Relationship Type="http://schemas.openxmlformats.org/officeDocument/2006/relationships/hyperlink" Id="rId23" Target="https://circ.ahajournals.org/content/124/4/381#xref-fn-9-1" TargetMode="External" /><Relationship Type="http://schemas.openxmlformats.org/officeDocument/2006/relationships/hyperlink" Id="rId24" Target="https://www.ncbi.nlm.nih.gov/pubmed/291265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2024-07-22T20:04:07Z</dcterms:created>
  <dcterms:modified xsi:type="dcterms:W3CDTF">2024-07-22T20:04:07Z</dcterms:modified>
</cp:coreProperties>
</file>

<file path=docProps/custom.xml><?xml version="1.0" encoding="utf-8"?>
<Properties xmlns="http://schemas.openxmlformats.org/officeDocument/2006/custom-properties" xmlns:vt="http://schemas.openxmlformats.org/officeDocument/2006/docPropsVTypes"/>
</file>