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0ea1594ab8aea1260795dde9c51c36ad008286"/>
    <w:p>
      <w:pPr>
        <w:pStyle w:val="Heading1"/>
      </w:pPr>
      <w:r>
        <w:t xml:space="preserve">HOMA-IR (Homeostatic Model Assessment for Insulin Resistance)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Insulin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Glucose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Score = (Fasting insulin, uIU/mL)*(Fasting glucose, mg/dL) / 405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The HOMA-IR is used to measure severity of insulin resistance, though normal insulin resistance varies depending on the population. Common reference levels for HOMA-IR insulin resistance range from 0.7 - 2.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2024-07-22T20:04:05Z</dcterms:created>
  <dcterms:modified xsi:type="dcterms:W3CDTF">2024-07-22T20:04:05Z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