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dl-calculated"/>
    <w:p>
      <w:pPr>
        <w:pStyle w:val="Heading1"/>
      </w:pPr>
      <w:r>
        <w:t xml:space="preserve">LDL Calculated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Total Cholesterol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HDL Cholesterol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Triglycerides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LDL cholesterol = total cholesterol - HDL - (triglycerides / 5)</w:t>
      </w:r>
    </w:p>
    <w:bookmarkEnd w:id="21"/>
    <w:bookmarkStart w:id="24" w:name="facts-figures"/>
    <w:p>
      <w:pPr>
        <w:pStyle w:val="Heading2"/>
      </w:pPr>
      <w:r>
        <w:t xml:space="preserve">FACTS &amp; FIGURES</w:t>
      </w:r>
    </w:p>
    <w:p>
      <w:pPr>
        <w:pStyle w:val="FirstParagraph"/>
      </w:pPr>
      <w:r>
        <w:rPr>
          <w:b/>
          <w:bCs/>
        </w:rPr>
        <w:t xml:space="preserve">Interpretation: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LDL level, mg/dL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Interpretation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&lt;100 </w:t>
            </w:r>
          </w:p>
        </w:tc>
        <w:tc>
          <w:tcPr/>
          <w:p>
            <w:pPr>
              <w:pStyle w:val="Compact"/>
            </w:pPr>
            <w:r>
              <w:t xml:space="preserve">Optimal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100-129</w:t>
            </w:r>
          </w:p>
        </w:tc>
        <w:tc>
          <w:tcPr/>
          <w:p>
            <w:pPr>
              <w:pStyle w:val="Compact"/>
            </w:pPr>
            <w:r>
              <w:t xml:space="preserve">Near optimal/above optimal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130-159 </w:t>
            </w:r>
          </w:p>
        </w:tc>
        <w:tc>
          <w:tcPr/>
          <w:p>
            <w:pPr>
              <w:pStyle w:val="Compact"/>
            </w:pPr>
            <w:r>
              <w:t xml:space="preserve">Borderline 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160-189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≥190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</w:tr>
    </w:tbl>
    <w:p>
      <w:pPr>
        <w:pStyle w:val="BodyText"/>
      </w:pPr>
      <w:r>
        <w:t xml:space="preserve">From </w:t>
      </w:r>
      <w:hyperlink r:id="rId22">
        <w:r>
          <w:rPr>
            <w:rStyle w:val="Hyperlink"/>
          </w:rPr>
          <w:t xml:space="preserve">ATP III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LDL targets: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“Very” high risk:</w:t>
      </w:r>
      <w:r>
        <w:t xml:space="preserve"> </w:t>
      </w:r>
      <w:r>
        <w:t xml:space="preserve">guidelines suggest &lt;70mg/dL may be a reasonable option, but data may suggest there is little incremental benefit to this extreme but with high associated cost.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High risk</w:t>
      </w:r>
      <w:r>
        <w:t xml:space="preserve"> </w:t>
      </w:r>
      <w:r>
        <w:t xml:space="preserve">(known CAD, known other atherosclerotic disease, diabetes, etc): &lt;100 mg/dL.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Moderate risk</w:t>
      </w:r>
      <w:r>
        <w:t xml:space="preserve"> </w:t>
      </w:r>
      <w:r>
        <w:t xml:space="preserve">(&gt;1 risk factor*): &lt;130 mg/dL.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Lower risk</w:t>
      </w:r>
      <w:r>
        <w:t xml:space="preserve"> </w:t>
      </w:r>
      <w:r>
        <w:t xml:space="preserve">(0-1 risk factors): &lt;160 mg/dL.</w:t>
      </w:r>
    </w:p>
    <w:p>
      <w:pPr>
        <w:pStyle w:val="FirstParagraph"/>
      </w:pP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NCEP 2004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*Risk factors include diabetes, cigarette smoking, HTN (BP 140/90 mm Hg or on antihypertensive medication), low HDL cholesterol (&lt;40 mg/dL), and family history of premature CAD (CAD in male first-degree relative, or father &lt;55 years, or female first-degree relative or mother &lt;65 years).</w:t>
      </w:r>
    </w:p>
    <w:bookmarkEnd w:id="24"/>
    <w:bookmarkStart w:id="25" w:name="evidence-appraisal"/>
    <w:p>
      <w:pPr>
        <w:pStyle w:val="Heading2"/>
      </w:pPr>
      <w:r>
        <w:t xml:space="preserve">EVIDENCE APPRAISAL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nhlbi.nih.gov/files/docs/guidelines/atglance.pdf" TargetMode="External" /><Relationship Type="http://schemas.openxmlformats.org/officeDocument/2006/relationships/hyperlink" Id="rId23" Target="https://www.nhlbi.nih.gov/health-pro/guidelines/current/cholesterol-guidelines/quick-desk-reference-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nhlbi.nih.gov/files/docs/guidelines/atglance.pdf" TargetMode="External" /><Relationship Type="http://schemas.openxmlformats.org/officeDocument/2006/relationships/hyperlink" Id="rId23" Target="https://www.nhlbi.nih.gov/health-pro/guidelines/current/cholesterol-guidelines/quick-desk-reference-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2024-07-22T20:04:19Z</dcterms:created>
  <dcterms:modified xsi:type="dcterms:W3CDTF">2024-07-22T20:04:19Z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