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ec44a74e7befbbb15d58d6972980dd9ac0492be"/>
    <w:p>
      <w:pPr>
        <w:pStyle w:val="Heading1"/>
      </w:pPr>
      <w:r>
        <w:t xml:space="preserve">Morphine Milligram Equivalents (MME) Calculator</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Drug</w:t>
            </w:r>
          </w:p>
          <w:p>
            <w:pPr>
              <w:pStyle w:val="BodyText"/>
            </w:pPr>
          </w:p>
        </w:tc>
        <w:tc>
          <w:tcPr/>
          <w:p>
            <w:pPr>
              <w:pStyle w:val="Compact"/>
            </w:pPr>
            <w:r>
              <w:rPr>
                <w:b/>
                <w:bCs/>
              </w:rPr>
              <w:t xml:space="preserve">Options:</w:t>
            </w:r>
          </w:p>
          <w:p>
            <w:pPr>
              <w:pStyle w:val="Compact"/>
              <w:numPr>
                <w:ilvl w:val="0"/>
                <w:numId w:val="1001"/>
              </w:numPr>
            </w:pPr>
            <w:r>
              <w:t xml:space="preserve">Codeine</w:t>
            </w:r>
          </w:p>
          <w:p>
            <w:pPr>
              <w:pStyle w:val="Compact"/>
              <w:numPr>
                <w:ilvl w:val="0"/>
                <w:numId w:val="1001"/>
              </w:numPr>
            </w:pPr>
            <w:r>
              <w:t xml:space="preserve">FentaNYL buccal or sublingual tablets</w:t>
            </w:r>
          </w:p>
          <w:p>
            <w:pPr>
              <w:pStyle w:val="Compact"/>
              <w:numPr>
                <w:ilvl w:val="0"/>
                <w:numId w:val="1001"/>
              </w:numPr>
            </w:pPr>
            <w:r>
              <w:t xml:space="preserve">FentaNYL patch (Duragesic)</w:t>
            </w:r>
          </w:p>
          <w:p>
            <w:pPr>
              <w:pStyle w:val="Compact"/>
              <w:numPr>
                <w:ilvl w:val="0"/>
                <w:numId w:val="1001"/>
              </w:numPr>
            </w:pPr>
            <w:r>
              <w:t xml:space="preserve">HYDROcodone (Vicodin, Norco, Lortab)</w:t>
            </w:r>
          </w:p>
          <w:p>
            <w:pPr>
              <w:pStyle w:val="Compact"/>
              <w:numPr>
                <w:ilvl w:val="0"/>
                <w:numId w:val="1001"/>
              </w:numPr>
            </w:pPr>
            <w:r>
              <w:t xml:space="preserve">HYDROmorphone (Dilaudid)</w:t>
            </w:r>
          </w:p>
          <w:p>
            <w:pPr>
              <w:pStyle w:val="Compact"/>
              <w:numPr>
                <w:ilvl w:val="0"/>
                <w:numId w:val="1001"/>
              </w:numPr>
            </w:pPr>
            <w:r>
              <w:t xml:space="preserve">Methadone</w:t>
            </w:r>
          </w:p>
          <w:p>
            <w:pPr>
              <w:pStyle w:val="Compact"/>
              <w:numPr>
                <w:ilvl w:val="0"/>
                <w:numId w:val="1001"/>
              </w:numPr>
            </w:pPr>
            <w:r>
              <w:t xml:space="preserve">Morphine</w:t>
            </w:r>
          </w:p>
          <w:p>
            <w:pPr>
              <w:pStyle w:val="Compact"/>
              <w:numPr>
                <w:ilvl w:val="0"/>
                <w:numId w:val="1001"/>
              </w:numPr>
            </w:pPr>
            <w:r>
              <w:t xml:space="preserve">OxyCODONE (OxyCONTIN, Roxicodone)</w:t>
            </w:r>
          </w:p>
          <w:p>
            <w:pPr>
              <w:pStyle w:val="Compact"/>
              <w:numPr>
                <w:ilvl w:val="0"/>
                <w:numId w:val="1001"/>
              </w:numPr>
            </w:pPr>
            <w:r>
              <w:t xml:space="preserve">OxyMORphone</w:t>
            </w:r>
          </w:p>
          <w:p>
            <w:pPr>
              <w:pStyle w:val="Compact"/>
              <w:numPr>
                <w:ilvl w:val="0"/>
                <w:numId w:val="1001"/>
              </w:numPr>
            </w:pPr>
            <w:r>
              <w:t xml:space="preserve">Tapentadol</w:t>
            </w:r>
          </w:p>
          <w:p>
            <w:pPr>
              <w:pStyle w:val="Compact"/>
              <w:numPr>
                <w:ilvl w:val="0"/>
                <w:numId w:val="1001"/>
              </w:numPr>
            </w:pPr>
            <w:r>
              <w:t xml:space="preserve">TraMADol (Ultram)</w:t>
            </w:r>
          </w:p>
        </w:tc>
      </w:tr>
      <w:tr>
        <w:tc>
          <w:tcPr/>
          <w:p>
            <w:pPr>
              <w:pStyle w:val="FirstParagraph"/>
            </w:pPr>
            <w:r>
              <w:t xml:space="preserve">Dosage</w:t>
            </w:r>
          </w:p>
          <w:p>
            <w:pPr>
              <w:pStyle w:val="BodyText"/>
            </w:pPr>
          </w:p>
        </w:tc>
        <w:tc>
          <w:tcPr/>
          <w:p>
            <w:pPr>
              <w:pStyle w:val="Compact"/>
            </w:pPr>
            <w:r>
              <w:rPr>
                <w:b/>
                <w:bCs/>
              </w:rPr>
              <w:t xml:space="preserve">Options:</w:t>
            </w:r>
          </w:p>
        </w:tc>
      </w:tr>
      <w:tr>
        <w:tc>
          <w:tcPr/>
          <w:p>
            <w:pPr>
              <w:pStyle w:val="FirstParagraph"/>
            </w:pPr>
            <w:r>
              <w:t xml:space="preserve">Dosage</w:t>
            </w:r>
          </w:p>
          <w:p>
            <w:pPr>
              <w:pStyle w:val="BodyText"/>
            </w:pPr>
          </w:p>
        </w:tc>
        <w:tc>
          <w:tcPr/>
          <w:p>
            <w:pPr>
              <w:pStyle w:val="Compact"/>
            </w:pPr>
            <w:r>
              <w:rPr>
                <w:b/>
                <w:bCs/>
              </w:rPr>
              <w:t xml:space="preserve">Options:</w:t>
            </w:r>
          </w:p>
        </w:tc>
      </w:tr>
      <w:tr>
        <w:tc>
          <w:tcPr/>
          <w:p>
            <w:pPr>
              <w:pStyle w:val="FirstParagraph"/>
            </w:pPr>
            <w:r>
              <w:t xml:space="preserve">Dosage, mcg/hr</w:t>
            </w:r>
          </w:p>
          <w:p>
            <w:pPr>
              <w:pStyle w:val="BodyText"/>
            </w:pPr>
            <w:r>
              <w:rPr>
                <w:i/>
                <w:iCs/>
              </w:rPr>
              <w:t xml:space="preserve">Assumes 1 patch every 3 days</w:t>
            </w:r>
          </w:p>
        </w:tc>
        <w:tc>
          <w:tcPr/>
          <w:p>
            <w:pPr>
              <w:pStyle w:val="Compact"/>
            </w:pPr>
            <w:r>
              <w:rPr>
                <w:b/>
                <w:bCs/>
              </w:rPr>
              <w:t xml:space="preserve">Options:</w:t>
            </w:r>
          </w:p>
          <w:p>
            <w:pPr>
              <w:pStyle w:val="Compact"/>
              <w:numPr>
                <w:ilvl w:val="0"/>
                <w:numId w:val="1002"/>
              </w:numPr>
            </w:pPr>
            <w:r>
              <w:t xml:space="preserve">12.5</w:t>
            </w:r>
          </w:p>
          <w:p>
            <w:pPr>
              <w:pStyle w:val="Compact"/>
              <w:numPr>
                <w:ilvl w:val="0"/>
                <w:numId w:val="1002"/>
              </w:numPr>
            </w:pPr>
            <w:r>
              <w:t xml:space="preserve">25</w:t>
            </w:r>
          </w:p>
          <w:p>
            <w:pPr>
              <w:pStyle w:val="Compact"/>
              <w:numPr>
                <w:ilvl w:val="0"/>
                <w:numId w:val="1002"/>
              </w:numPr>
            </w:pPr>
            <w:r>
              <w:t xml:space="preserve">37.5</w:t>
            </w:r>
          </w:p>
          <w:p>
            <w:pPr>
              <w:pStyle w:val="Compact"/>
              <w:numPr>
                <w:ilvl w:val="0"/>
                <w:numId w:val="1002"/>
              </w:numPr>
            </w:pPr>
            <w:r>
              <w:t xml:space="preserve">50</w:t>
            </w:r>
          </w:p>
          <w:p>
            <w:pPr>
              <w:pStyle w:val="Compact"/>
              <w:numPr>
                <w:ilvl w:val="0"/>
                <w:numId w:val="1002"/>
              </w:numPr>
            </w:pPr>
            <w:r>
              <w:t xml:space="preserve">62.5</w:t>
            </w:r>
          </w:p>
          <w:p>
            <w:pPr>
              <w:pStyle w:val="Compact"/>
              <w:numPr>
                <w:ilvl w:val="0"/>
                <w:numId w:val="1002"/>
              </w:numPr>
            </w:pPr>
            <w:r>
              <w:t xml:space="preserve">75</w:t>
            </w:r>
          </w:p>
          <w:p>
            <w:pPr>
              <w:pStyle w:val="Compact"/>
              <w:numPr>
                <w:ilvl w:val="0"/>
                <w:numId w:val="1002"/>
              </w:numPr>
            </w:pPr>
            <w:r>
              <w:t xml:space="preserve">87.5</w:t>
            </w:r>
          </w:p>
          <w:p>
            <w:pPr>
              <w:pStyle w:val="Compact"/>
              <w:numPr>
                <w:ilvl w:val="0"/>
                <w:numId w:val="1002"/>
              </w:numPr>
            </w:pPr>
            <w:r>
              <w:t xml:space="preserve">100</w:t>
            </w:r>
          </w:p>
        </w:tc>
      </w:tr>
      <w:tr>
        <w:tc>
          <w:tcPr/>
          <w:p>
            <w:pPr>
              <w:pStyle w:val="FirstParagraph"/>
            </w:pPr>
            <w:r>
              <w:t xml:space="preserve">Doses per day</w:t>
            </w:r>
          </w:p>
          <w:p>
            <w:pPr>
              <w:pStyle w:val="BodyText"/>
            </w:pPr>
          </w:p>
        </w:tc>
        <w:tc>
          <w:tcPr/>
          <w:p>
            <w:pPr>
              <w:pStyle w:val="Compact"/>
            </w:pPr>
            <w:r>
              <w:rPr>
                <w:b/>
                <w:bCs/>
              </w:rPr>
              <w:t xml:space="preserve">Options:</w:t>
            </w:r>
          </w:p>
        </w:tc>
      </w:tr>
      <w:tr>
        <w:tc>
          <w:tcPr/>
          <w:p>
            <w:pPr>
              <w:pStyle w:val="FirstParagraph"/>
            </w:pPr>
            <w:r>
              <w:t xml:space="preserve">Add another drug</w:t>
            </w:r>
          </w:p>
          <w:p>
            <w:pPr>
              <w:pStyle w:val="BodyText"/>
            </w:pPr>
          </w:p>
        </w:tc>
        <w:tc>
          <w:tcPr/>
          <w:p>
            <w:pPr>
              <w:pStyle w:val="Compact"/>
            </w:pPr>
            <w:r>
              <w:rPr>
                <w:b/>
                <w:bCs/>
              </w:rPr>
              <w:t xml:space="preserve">Options:</w:t>
            </w:r>
          </w:p>
          <w:p>
            <w:pPr>
              <w:pStyle w:val="Compact"/>
              <w:numPr>
                <w:ilvl w:val="0"/>
                <w:numId w:val="1003"/>
              </w:numPr>
            </w:pPr>
            <w:r>
              <w:t xml:space="preserve">No</w:t>
            </w:r>
          </w:p>
          <w:p>
            <w:pPr>
              <w:pStyle w:val="Compact"/>
              <w:numPr>
                <w:ilvl w:val="0"/>
                <w:numId w:val="1003"/>
              </w:numPr>
            </w:pPr>
            <w:r>
              <w:t xml:space="preserve">Yes</w:t>
            </w:r>
          </w:p>
        </w:tc>
      </w:tr>
      <w:tr>
        <w:tc>
          <w:tcPr/>
          <w:p>
            <w:pPr>
              <w:pStyle w:val="FirstParagraph"/>
            </w:pPr>
            <w:r>
              <w:t xml:space="preserve">Drug</w:t>
            </w:r>
          </w:p>
          <w:p>
            <w:pPr>
              <w:pStyle w:val="BodyText"/>
            </w:pPr>
          </w:p>
        </w:tc>
        <w:tc>
          <w:tcPr/>
          <w:p>
            <w:pPr>
              <w:pStyle w:val="Compact"/>
            </w:pPr>
            <w:r>
              <w:rPr>
                <w:b/>
                <w:bCs/>
              </w:rPr>
              <w:t xml:space="preserve">Options:</w:t>
            </w:r>
          </w:p>
          <w:p>
            <w:pPr>
              <w:pStyle w:val="Compact"/>
              <w:numPr>
                <w:ilvl w:val="0"/>
                <w:numId w:val="1004"/>
              </w:numPr>
            </w:pPr>
            <w:r>
              <w:t xml:space="preserve">Codeine</w:t>
            </w:r>
          </w:p>
          <w:p>
            <w:pPr>
              <w:pStyle w:val="Compact"/>
              <w:numPr>
                <w:ilvl w:val="0"/>
                <w:numId w:val="1004"/>
              </w:numPr>
            </w:pPr>
            <w:r>
              <w:t xml:space="preserve">FentaNYL buccal or sublingual tablets</w:t>
            </w:r>
          </w:p>
          <w:p>
            <w:pPr>
              <w:pStyle w:val="Compact"/>
              <w:numPr>
                <w:ilvl w:val="0"/>
                <w:numId w:val="1004"/>
              </w:numPr>
            </w:pPr>
            <w:r>
              <w:t xml:space="preserve">FentaNYL patch (Duragesic)</w:t>
            </w:r>
          </w:p>
          <w:p>
            <w:pPr>
              <w:pStyle w:val="Compact"/>
              <w:numPr>
                <w:ilvl w:val="0"/>
                <w:numId w:val="1004"/>
              </w:numPr>
            </w:pPr>
            <w:r>
              <w:t xml:space="preserve">HYDROcodone (Vicodin, Norco, Lortab)</w:t>
            </w:r>
          </w:p>
          <w:p>
            <w:pPr>
              <w:pStyle w:val="Compact"/>
              <w:numPr>
                <w:ilvl w:val="0"/>
                <w:numId w:val="1004"/>
              </w:numPr>
            </w:pPr>
            <w:r>
              <w:t xml:space="preserve">HYDROmorphone (Dilaudid)</w:t>
            </w:r>
          </w:p>
          <w:p>
            <w:pPr>
              <w:pStyle w:val="Compact"/>
              <w:numPr>
                <w:ilvl w:val="0"/>
                <w:numId w:val="1004"/>
              </w:numPr>
            </w:pPr>
            <w:r>
              <w:t xml:space="preserve">Methadone</w:t>
            </w:r>
          </w:p>
          <w:p>
            <w:pPr>
              <w:pStyle w:val="Compact"/>
              <w:numPr>
                <w:ilvl w:val="0"/>
                <w:numId w:val="1004"/>
              </w:numPr>
            </w:pPr>
            <w:r>
              <w:t xml:space="preserve">Morphine</w:t>
            </w:r>
          </w:p>
          <w:p>
            <w:pPr>
              <w:pStyle w:val="Compact"/>
              <w:numPr>
                <w:ilvl w:val="0"/>
                <w:numId w:val="1004"/>
              </w:numPr>
            </w:pPr>
            <w:r>
              <w:t xml:space="preserve">OxyCODONE (OxyCONTIN, Roxicodone)</w:t>
            </w:r>
          </w:p>
          <w:p>
            <w:pPr>
              <w:pStyle w:val="Compact"/>
              <w:numPr>
                <w:ilvl w:val="0"/>
                <w:numId w:val="1004"/>
              </w:numPr>
            </w:pPr>
            <w:r>
              <w:t xml:space="preserve">OxyMORphone</w:t>
            </w:r>
          </w:p>
          <w:p>
            <w:pPr>
              <w:pStyle w:val="Compact"/>
              <w:numPr>
                <w:ilvl w:val="0"/>
                <w:numId w:val="1004"/>
              </w:numPr>
            </w:pPr>
            <w:r>
              <w:t xml:space="preserve">Tapentadol</w:t>
            </w:r>
          </w:p>
          <w:p>
            <w:pPr>
              <w:pStyle w:val="Compact"/>
              <w:numPr>
                <w:ilvl w:val="0"/>
                <w:numId w:val="1004"/>
              </w:numPr>
            </w:pPr>
            <w:r>
              <w:t xml:space="preserve">TraMADol (Ultram)</w:t>
            </w:r>
          </w:p>
        </w:tc>
      </w:tr>
      <w:tr>
        <w:tc>
          <w:tcPr/>
          <w:p>
            <w:pPr>
              <w:pStyle w:val="FirstParagraph"/>
            </w:pPr>
            <w:r>
              <w:t xml:space="preserve">Dosage</w:t>
            </w:r>
          </w:p>
          <w:p>
            <w:pPr>
              <w:pStyle w:val="BodyText"/>
            </w:pPr>
          </w:p>
        </w:tc>
        <w:tc>
          <w:tcPr/>
          <w:p>
            <w:pPr>
              <w:pStyle w:val="Compact"/>
            </w:pPr>
            <w:r>
              <w:rPr>
                <w:b/>
                <w:bCs/>
              </w:rPr>
              <w:t xml:space="preserve">Options:</w:t>
            </w:r>
          </w:p>
        </w:tc>
      </w:tr>
      <w:tr>
        <w:tc>
          <w:tcPr/>
          <w:p>
            <w:pPr>
              <w:pStyle w:val="FirstParagraph"/>
            </w:pPr>
            <w:r>
              <w:t xml:space="preserve">Dosage</w:t>
            </w:r>
          </w:p>
          <w:p>
            <w:pPr>
              <w:pStyle w:val="BodyText"/>
            </w:pPr>
          </w:p>
        </w:tc>
        <w:tc>
          <w:tcPr/>
          <w:p>
            <w:pPr>
              <w:pStyle w:val="Compact"/>
            </w:pPr>
            <w:r>
              <w:rPr>
                <w:b/>
                <w:bCs/>
              </w:rPr>
              <w:t xml:space="preserve">Options:</w:t>
            </w:r>
          </w:p>
        </w:tc>
      </w:tr>
      <w:tr>
        <w:tc>
          <w:tcPr/>
          <w:p>
            <w:pPr>
              <w:pStyle w:val="FirstParagraph"/>
            </w:pPr>
            <w:r>
              <w:t xml:space="preserve">Dosage, mcg/hr</w:t>
            </w:r>
          </w:p>
          <w:p>
            <w:pPr>
              <w:pStyle w:val="BodyText"/>
            </w:pPr>
            <w:r>
              <w:rPr>
                <w:i/>
                <w:iCs/>
              </w:rPr>
              <w:t xml:space="preserve">Assumes 1 patch every 3 days</w:t>
            </w:r>
          </w:p>
        </w:tc>
        <w:tc>
          <w:tcPr/>
          <w:p>
            <w:pPr>
              <w:pStyle w:val="Compact"/>
            </w:pPr>
            <w:r>
              <w:rPr>
                <w:b/>
                <w:bCs/>
              </w:rPr>
              <w:t xml:space="preserve">Options:</w:t>
            </w:r>
          </w:p>
          <w:p>
            <w:pPr>
              <w:pStyle w:val="Compact"/>
              <w:numPr>
                <w:ilvl w:val="0"/>
                <w:numId w:val="1005"/>
              </w:numPr>
            </w:pPr>
            <w:r>
              <w:t xml:space="preserve">12.5</w:t>
            </w:r>
          </w:p>
          <w:p>
            <w:pPr>
              <w:pStyle w:val="Compact"/>
              <w:numPr>
                <w:ilvl w:val="0"/>
                <w:numId w:val="1005"/>
              </w:numPr>
            </w:pPr>
            <w:r>
              <w:t xml:space="preserve">25</w:t>
            </w:r>
          </w:p>
          <w:p>
            <w:pPr>
              <w:pStyle w:val="Compact"/>
              <w:numPr>
                <w:ilvl w:val="0"/>
                <w:numId w:val="1005"/>
              </w:numPr>
            </w:pPr>
            <w:r>
              <w:t xml:space="preserve">37.5</w:t>
            </w:r>
          </w:p>
          <w:p>
            <w:pPr>
              <w:pStyle w:val="Compact"/>
              <w:numPr>
                <w:ilvl w:val="0"/>
                <w:numId w:val="1005"/>
              </w:numPr>
            </w:pPr>
            <w:r>
              <w:t xml:space="preserve">50</w:t>
            </w:r>
          </w:p>
          <w:p>
            <w:pPr>
              <w:pStyle w:val="Compact"/>
              <w:numPr>
                <w:ilvl w:val="0"/>
                <w:numId w:val="1005"/>
              </w:numPr>
            </w:pPr>
            <w:r>
              <w:t xml:space="preserve">62.5</w:t>
            </w:r>
          </w:p>
          <w:p>
            <w:pPr>
              <w:pStyle w:val="Compact"/>
              <w:numPr>
                <w:ilvl w:val="0"/>
                <w:numId w:val="1005"/>
              </w:numPr>
            </w:pPr>
            <w:r>
              <w:t xml:space="preserve">75</w:t>
            </w:r>
          </w:p>
          <w:p>
            <w:pPr>
              <w:pStyle w:val="Compact"/>
              <w:numPr>
                <w:ilvl w:val="0"/>
                <w:numId w:val="1005"/>
              </w:numPr>
            </w:pPr>
            <w:r>
              <w:t xml:space="preserve">87.5</w:t>
            </w:r>
          </w:p>
          <w:p>
            <w:pPr>
              <w:pStyle w:val="Compact"/>
              <w:numPr>
                <w:ilvl w:val="0"/>
                <w:numId w:val="1005"/>
              </w:numPr>
            </w:pPr>
            <w:r>
              <w:t xml:space="preserve">100</w:t>
            </w:r>
          </w:p>
        </w:tc>
      </w:tr>
      <w:tr>
        <w:tc>
          <w:tcPr/>
          <w:p>
            <w:pPr>
              <w:pStyle w:val="FirstParagraph"/>
            </w:pPr>
            <w:r>
              <w:t xml:space="preserve">Doses per day</w:t>
            </w:r>
          </w:p>
          <w:p>
            <w:pPr>
              <w:pStyle w:val="BodyText"/>
            </w:pPr>
          </w:p>
        </w:tc>
        <w:tc>
          <w:tcPr/>
          <w:p>
            <w:pPr>
              <w:pStyle w:val="Compact"/>
            </w:pPr>
            <w:r>
              <w:rPr>
                <w:b/>
                <w:bCs/>
              </w:rPr>
              <w:t xml:space="preserve">Options:</w:t>
            </w:r>
          </w:p>
        </w:tc>
      </w:tr>
      <w:tr>
        <w:tc>
          <w:tcPr/>
          <w:p>
            <w:pPr>
              <w:pStyle w:val="FirstParagraph"/>
            </w:pPr>
            <w:r>
              <w:t xml:space="preserve">Add another drug</w:t>
            </w:r>
          </w:p>
          <w:p>
            <w:pPr>
              <w:pStyle w:val="BodyText"/>
            </w:pPr>
          </w:p>
        </w:tc>
        <w:tc>
          <w:tcPr/>
          <w:p>
            <w:pPr>
              <w:pStyle w:val="Compact"/>
            </w:pPr>
            <w:r>
              <w:rPr>
                <w:b/>
                <w:bCs/>
              </w:rPr>
              <w:t xml:space="preserve">Options:</w:t>
            </w:r>
          </w:p>
          <w:p>
            <w:pPr>
              <w:pStyle w:val="Compact"/>
              <w:numPr>
                <w:ilvl w:val="0"/>
                <w:numId w:val="1006"/>
              </w:numPr>
            </w:pPr>
            <w:r>
              <w:t xml:space="preserve">No</w:t>
            </w:r>
          </w:p>
          <w:p>
            <w:pPr>
              <w:pStyle w:val="Compact"/>
              <w:numPr>
                <w:ilvl w:val="0"/>
                <w:numId w:val="1006"/>
              </w:numPr>
            </w:pPr>
            <w:r>
              <w:t xml:space="preserve">Yes</w:t>
            </w:r>
          </w:p>
        </w:tc>
      </w:tr>
      <w:tr>
        <w:tc>
          <w:tcPr/>
          <w:p>
            <w:pPr>
              <w:pStyle w:val="FirstParagraph"/>
            </w:pPr>
            <w:r>
              <w:t xml:space="preserve">Drug</w:t>
            </w:r>
          </w:p>
          <w:p>
            <w:pPr>
              <w:pStyle w:val="BodyText"/>
            </w:pPr>
          </w:p>
        </w:tc>
        <w:tc>
          <w:tcPr/>
          <w:p>
            <w:pPr>
              <w:pStyle w:val="Compact"/>
            </w:pPr>
            <w:r>
              <w:rPr>
                <w:b/>
                <w:bCs/>
              </w:rPr>
              <w:t xml:space="preserve">Options:</w:t>
            </w:r>
          </w:p>
          <w:p>
            <w:pPr>
              <w:pStyle w:val="Compact"/>
              <w:numPr>
                <w:ilvl w:val="0"/>
                <w:numId w:val="1007"/>
              </w:numPr>
            </w:pPr>
            <w:r>
              <w:t xml:space="preserve">Codeine</w:t>
            </w:r>
          </w:p>
          <w:p>
            <w:pPr>
              <w:pStyle w:val="Compact"/>
              <w:numPr>
                <w:ilvl w:val="0"/>
                <w:numId w:val="1007"/>
              </w:numPr>
            </w:pPr>
            <w:r>
              <w:t xml:space="preserve">FentaNYL buccal or sublingual tablets</w:t>
            </w:r>
          </w:p>
          <w:p>
            <w:pPr>
              <w:pStyle w:val="Compact"/>
              <w:numPr>
                <w:ilvl w:val="0"/>
                <w:numId w:val="1007"/>
              </w:numPr>
            </w:pPr>
            <w:r>
              <w:t xml:space="preserve">FentaNYL patch (Duragesic)</w:t>
            </w:r>
          </w:p>
          <w:p>
            <w:pPr>
              <w:pStyle w:val="Compact"/>
              <w:numPr>
                <w:ilvl w:val="0"/>
                <w:numId w:val="1007"/>
              </w:numPr>
            </w:pPr>
            <w:r>
              <w:t xml:space="preserve">HYDROcodone (Vicodin, Norco, Lortab)</w:t>
            </w:r>
          </w:p>
          <w:p>
            <w:pPr>
              <w:pStyle w:val="Compact"/>
              <w:numPr>
                <w:ilvl w:val="0"/>
                <w:numId w:val="1007"/>
              </w:numPr>
            </w:pPr>
            <w:r>
              <w:t xml:space="preserve">HYDROmorphone (Dilaudid)</w:t>
            </w:r>
          </w:p>
          <w:p>
            <w:pPr>
              <w:pStyle w:val="Compact"/>
              <w:numPr>
                <w:ilvl w:val="0"/>
                <w:numId w:val="1007"/>
              </w:numPr>
            </w:pPr>
            <w:r>
              <w:t xml:space="preserve">Methadone</w:t>
            </w:r>
          </w:p>
          <w:p>
            <w:pPr>
              <w:pStyle w:val="Compact"/>
              <w:numPr>
                <w:ilvl w:val="0"/>
                <w:numId w:val="1007"/>
              </w:numPr>
            </w:pPr>
            <w:r>
              <w:t xml:space="preserve">Morphine</w:t>
            </w:r>
          </w:p>
          <w:p>
            <w:pPr>
              <w:pStyle w:val="Compact"/>
              <w:numPr>
                <w:ilvl w:val="0"/>
                <w:numId w:val="1007"/>
              </w:numPr>
            </w:pPr>
            <w:r>
              <w:t xml:space="preserve">OxyCODONE (OxyCONTIN, Roxicodone)</w:t>
            </w:r>
          </w:p>
          <w:p>
            <w:pPr>
              <w:pStyle w:val="Compact"/>
              <w:numPr>
                <w:ilvl w:val="0"/>
                <w:numId w:val="1007"/>
              </w:numPr>
            </w:pPr>
            <w:r>
              <w:t xml:space="preserve">OxyMORphone</w:t>
            </w:r>
          </w:p>
          <w:p>
            <w:pPr>
              <w:pStyle w:val="Compact"/>
              <w:numPr>
                <w:ilvl w:val="0"/>
                <w:numId w:val="1007"/>
              </w:numPr>
            </w:pPr>
            <w:r>
              <w:t xml:space="preserve">Tapentadol</w:t>
            </w:r>
          </w:p>
          <w:p>
            <w:pPr>
              <w:pStyle w:val="Compact"/>
              <w:numPr>
                <w:ilvl w:val="0"/>
                <w:numId w:val="1007"/>
              </w:numPr>
            </w:pPr>
            <w:r>
              <w:t xml:space="preserve">TraMADol (Ultram)</w:t>
            </w:r>
          </w:p>
        </w:tc>
      </w:tr>
      <w:tr>
        <w:tc>
          <w:tcPr/>
          <w:p>
            <w:pPr>
              <w:pStyle w:val="FirstParagraph"/>
            </w:pPr>
            <w:r>
              <w:t xml:space="preserve">Dosage</w:t>
            </w:r>
          </w:p>
          <w:p>
            <w:pPr>
              <w:pStyle w:val="BodyText"/>
            </w:pPr>
          </w:p>
        </w:tc>
        <w:tc>
          <w:tcPr/>
          <w:p>
            <w:pPr>
              <w:pStyle w:val="Compact"/>
            </w:pPr>
            <w:r>
              <w:rPr>
                <w:b/>
                <w:bCs/>
              </w:rPr>
              <w:t xml:space="preserve">Options:</w:t>
            </w:r>
          </w:p>
        </w:tc>
      </w:tr>
      <w:tr>
        <w:tc>
          <w:tcPr/>
          <w:p>
            <w:pPr>
              <w:pStyle w:val="FirstParagraph"/>
            </w:pPr>
            <w:r>
              <w:t xml:space="preserve">Dosage</w:t>
            </w:r>
          </w:p>
          <w:p>
            <w:pPr>
              <w:pStyle w:val="BodyText"/>
            </w:pPr>
          </w:p>
        </w:tc>
        <w:tc>
          <w:tcPr/>
          <w:p>
            <w:pPr>
              <w:pStyle w:val="Compact"/>
            </w:pPr>
            <w:r>
              <w:rPr>
                <w:b/>
                <w:bCs/>
              </w:rPr>
              <w:t xml:space="preserve">Options:</w:t>
            </w:r>
          </w:p>
        </w:tc>
      </w:tr>
      <w:tr>
        <w:tc>
          <w:tcPr/>
          <w:p>
            <w:pPr>
              <w:pStyle w:val="FirstParagraph"/>
            </w:pPr>
            <w:r>
              <w:t xml:space="preserve">Dosage, mcg/hr</w:t>
            </w:r>
          </w:p>
          <w:p>
            <w:pPr>
              <w:pStyle w:val="BodyText"/>
            </w:pPr>
          </w:p>
        </w:tc>
        <w:tc>
          <w:tcPr/>
          <w:p>
            <w:pPr>
              <w:pStyle w:val="Compact"/>
            </w:pPr>
            <w:r>
              <w:rPr>
                <w:b/>
                <w:bCs/>
              </w:rPr>
              <w:t xml:space="preserve">Options:</w:t>
            </w:r>
          </w:p>
          <w:p>
            <w:pPr>
              <w:pStyle w:val="Compact"/>
              <w:numPr>
                <w:ilvl w:val="0"/>
                <w:numId w:val="1008"/>
              </w:numPr>
            </w:pPr>
            <w:r>
              <w:t xml:space="preserve">12.5</w:t>
            </w:r>
          </w:p>
          <w:p>
            <w:pPr>
              <w:pStyle w:val="Compact"/>
              <w:numPr>
                <w:ilvl w:val="0"/>
                <w:numId w:val="1008"/>
              </w:numPr>
            </w:pPr>
            <w:r>
              <w:t xml:space="preserve">25</w:t>
            </w:r>
          </w:p>
          <w:p>
            <w:pPr>
              <w:pStyle w:val="Compact"/>
              <w:numPr>
                <w:ilvl w:val="0"/>
                <w:numId w:val="1008"/>
              </w:numPr>
            </w:pPr>
            <w:r>
              <w:t xml:space="preserve">37.5</w:t>
            </w:r>
          </w:p>
          <w:p>
            <w:pPr>
              <w:pStyle w:val="Compact"/>
              <w:numPr>
                <w:ilvl w:val="0"/>
                <w:numId w:val="1008"/>
              </w:numPr>
            </w:pPr>
            <w:r>
              <w:t xml:space="preserve">50</w:t>
            </w:r>
          </w:p>
          <w:p>
            <w:pPr>
              <w:pStyle w:val="Compact"/>
              <w:numPr>
                <w:ilvl w:val="0"/>
                <w:numId w:val="1008"/>
              </w:numPr>
            </w:pPr>
            <w:r>
              <w:t xml:space="preserve">62.5</w:t>
            </w:r>
          </w:p>
          <w:p>
            <w:pPr>
              <w:pStyle w:val="Compact"/>
              <w:numPr>
                <w:ilvl w:val="0"/>
                <w:numId w:val="1008"/>
              </w:numPr>
            </w:pPr>
            <w:r>
              <w:t xml:space="preserve">75</w:t>
            </w:r>
          </w:p>
          <w:p>
            <w:pPr>
              <w:pStyle w:val="Compact"/>
              <w:numPr>
                <w:ilvl w:val="0"/>
                <w:numId w:val="1008"/>
              </w:numPr>
            </w:pPr>
            <w:r>
              <w:t xml:space="preserve">87.5</w:t>
            </w:r>
          </w:p>
          <w:p>
            <w:pPr>
              <w:pStyle w:val="Compact"/>
              <w:numPr>
                <w:ilvl w:val="0"/>
                <w:numId w:val="1008"/>
              </w:numPr>
            </w:pPr>
            <w:r>
              <w:t xml:space="preserve">100</w:t>
            </w:r>
          </w:p>
        </w:tc>
      </w:tr>
      <w:tr>
        <w:tc>
          <w:tcPr/>
          <w:p>
            <w:pPr>
              <w:pStyle w:val="FirstParagraph"/>
            </w:pPr>
            <w:r>
              <w:t xml:space="preserve">Doses per day</w:t>
            </w:r>
          </w:p>
          <w:p>
            <w:pPr>
              <w:pStyle w:val="BodyText"/>
            </w:pPr>
          </w:p>
        </w:tc>
        <w:tc>
          <w:tcPr/>
          <w:p>
            <w:pPr>
              <w:pStyle w:val="Compact"/>
            </w:pPr>
            <w:r>
              <w:rPr>
                <w:b/>
                <w:bCs/>
              </w:rPr>
              <w:t xml:space="preserve">Options:</w:t>
            </w:r>
          </w:p>
        </w:tc>
      </w:tr>
    </w:tbl>
    <w:bookmarkEnd w:id="20"/>
    <w:bookmarkStart w:id="21" w:name="formula"/>
    <w:p>
      <w:pPr>
        <w:pStyle w:val="Heading2"/>
      </w:pPr>
      <w:r>
        <w:t xml:space="preserve">FORMULA</w:t>
      </w:r>
    </w:p>
    <w:p>
      <w:pPr>
        <w:pStyle w:val="FirstParagraph"/>
      </w:pPr>
      <w:r>
        <w:t xml:space="preserve">MME/day = Dosage</w:t>
      </w:r>
      <w:r>
        <w:rPr>
          <w:vertAlign w:val="superscript"/>
        </w:rPr>
        <w:t xml:space="preserve">1</w:t>
      </w:r>
      <w:r>
        <w:t xml:space="preserve"> </w:t>
      </w:r>
      <w:r>
        <w:t xml:space="preserve">x Doses per day x MME conversion factor</w:t>
      </w:r>
    </w:p>
    <w:tbl>
      <w:tblPr>
        <w:tblStyle w:val="Table"/>
        <w:tblW w:type="pct" w:w="5000"/>
        <w:tblLayout w:type="fixed"/>
        <w:tblLook w:firstRow="0" w:lastRow="0" w:firstColumn="0" w:lastColumn="0" w:noHBand="0" w:noVBand="0" w:val="0000"/>
      </w:tblPr>
      <w:tblGrid>
        <w:gridCol w:w="7920"/>
        <w:gridCol w:w="0"/>
        <w:gridCol w:w="0"/>
      </w:tblGrid>
      <w:tr>
        <w:tc>
          <w:tcPr/>
          <w:p>
            <w:pPr>
              <w:pStyle w:val="FirstParagraph"/>
            </w:pPr>
            <w:r>
              <w:rPr>
                <w:b/>
                <w:bCs/>
              </w:rPr>
              <w:t xml:space="preserve">Opioid</w:t>
            </w:r>
          </w:p>
        </w:tc>
        <w:tc>
          <w:tcPr/>
          <w:p>
            <w:pPr>
              <w:pStyle w:val="BodyText"/>
            </w:pPr>
            <w:r>
              <w:rPr>
                <w:b/>
                <w:bCs/>
              </w:rPr>
              <w:t xml:space="preserve">Common dosages</w:t>
            </w:r>
          </w:p>
        </w:tc>
        <w:tc>
          <w:tcPr/>
          <w:p>
            <w:pPr>
              <w:pStyle w:val="BodyText"/>
            </w:pPr>
            <w:r>
              <w:rPr>
                <w:b/>
                <w:bCs/>
              </w:rPr>
              <w:t xml:space="preserve">MME conversion factor</w:t>
            </w:r>
            <w:r>
              <w:rPr>
                <w:b/>
                <w:bCs/>
                <w:vertAlign w:val="superscript"/>
              </w:rPr>
              <w:t xml:space="preserve">2</w:t>
            </w:r>
          </w:p>
        </w:tc>
      </w:tr>
      <w:tr>
        <w:tc>
          <w:tcPr/>
          <w:p>
            <w:pPr>
              <w:pStyle w:val="BodyText"/>
            </w:pPr>
            <w:r>
              <w:t xml:space="preserve">Codeine</w:t>
            </w:r>
          </w:p>
        </w:tc>
        <w:tc>
          <w:tcPr/>
          <w:p>
            <w:pPr>
              <w:pStyle w:val="BodyText"/>
            </w:pPr>
            <w:r>
              <w:t xml:space="preserve">15mg, 30mg, 60mg, 2.4 mg/mL, 6 mg/mL</w:t>
            </w:r>
          </w:p>
        </w:tc>
        <w:tc>
          <w:tcPr/>
          <w:p>
            <w:pPr>
              <w:pStyle w:val="BodyText"/>
            </w:pPr>
            <w:r>
              <w:t xml:space="preserve">0.15</w:t>
            </w:r>
          </w:p>
        </w:tc>
      </w:tr>
      <w:tr>
        <w:tc>
          <w:tcPr/>
          <w:p>
            <w:pPr>
              <w:pStyle w:val="BodyText"/>
            </w:pPr>
            <w:r>
              <w:t xml:space="preserve">FentaNYL buccal or sublingual tablets</w:t>
            </w:r>
          </w:p>
        </w:tc>
        <w:tc>
          <w:tcPr/>
          <w:p>
            <w:pPr>
              <w:pStyle w:val="BodyText"/>
            </w:pPr>
            <w:r>
              <w:t xml:space="preserve">100 mcg, 200 mcg, 300 mcg, 400 mcg, 600 mcg, 800 mcg</w:t>
            </w:r>
          </w:p>
        </w:tc>
        <w:tc>
          <w:tcPr/>
          <w:p>
            <w:pPr>
              <w:pStyle w:val="BodyText"/>
            </w:pPr>
            <w:r>
              <w:t xml:space="preserve">0.13</w:t>
            </w:r>
          </w:p>
        </w:tc>
      </w:tr>
      <w:tr>
        <w:tc>
          <w:tcPr/>
          <w:p>
            <w:pPr>
              <w:pStyle w:val="BodyText"/>
            </w:pPr>
            <w:r>
              <w:t xml:space="preserve">FentaNYL patch (Duragesic)</w:t>
            </w:r>
          </w:p>
        </w:tc>
        <w:tc>
          <w:tcPr/>
          <w:p>
            <w:pPr>
              <w:pStyle w:val="BodyText"/>
            </w:pPr>
            <w:r>
              <w:t xml:space="preserve">12.5 mcg, 25 mcg, 37.5 mcg, 50 mcg, 62.5 mcg, 75 mcg, 87.5 mcg, 100 mcg</w:t>
            </w:r>
          </w:p>
        </w:tc>
        <w:tc>
          <w:tcPr/>
          <w:p>
            <w:pPr>
              <w:pStyle w:val="BodyText"/>
            </w:pPr>
            <w:r>
              <w:t xml:space="preserve">2.4</w:t>
            </w:r>
          </w:p>
        </w:tc>
      </w:tr>
      <w:tr>
        <w:tc>
          <w:tcPr/>
          <w:p>
            <w:pPr>
              <w:pStyle w:val="BodyText"/>
            </w:pPr>
            <w:r>
              <w:t xml:space="preserve">HYDROcodone (Vicodin, Norco, Lortab)</w:t>
            </w:r>
          </w:p>
        </w:tc>
        <w:tc>
          <w:tcPr/>
          <w:p>
            <w:pPr>
              <w:pStyle w:val="BodyText"/>
            </w:pPr>
            <w:r>
              <w:t xml:space="preserve">2.5 mg, 5 mg, 7.5 mg, 10 mg, 1 mg/mL, 0.5 mg/mL, 0.667 mg/mL</w:t>
            </w:r>
          </w:p>
        </w:tc>
        <w:tc>
          <w:tcPr/>
          <w:p>
            <w:pPr>
              <w:pStyle w:val="BodyText"/>
            </w:pPr>
            <w:r>
              <w:t xml:space="preserve">1</w:t>
            </w:r>
          </w:p>
        </w:tc>
      </w:tr>
      <w:tr>
        <w:tc>
          <w:tcPr/>
          <w:p>
            <w:pPr>
              <w:pStyle w:val="BodyText"/>
            </w:pPr>
            <w:r>
              <w:t xml:space="preserve">HYDROmorphone (Dilaudid)</w:t>
            </w:r>
          </w:p>
        </w:tc>
        <w:tc>
          <w:tcPr/>
          <w:p>
            <w:pPr>
              <w:pStyle w:val="BodyText"/>
            </w:pPr>
            <w:r>
              <w:t xml:space="preserve">2 mg, 4 mg, 8 mg, 12 mg, 16 mg, 32 mg, 1 mg/mL</w:t>
            </w:r>
          </w:p>
        </w:tc>
        <w:tc>
          <w:tcPr/>
          <w:p>
            <w:pPr>
              <w:pStyle w:val="BodyText"/>
            </w:pPr>
            <w:r>
              <w:t xml:space="preserve">5</w:t>
            </w:r>
          </w:p>
        </w:tc>
      </w:tr>
      <w:tr>
        <w:tc>
          <w:tcPr/>
          <w:p>
            <w:pPr>
              <w:pStyle w:val="BodyText"/>
            </w:pPr>
            <w:r>
              <w:t xml:space="preserve">Methadone</w:t>
            </w:r>
            <w:r>
              <w:rPr>
                <w:vertAlign w:val="superscript"/>
              </w:rPr>
              <w:t xml:space="preserve">3</w:t>
            </w:r>
          </w:p>
        </w:tc>
        <w:tc>
          <w:tcPr/>
          <w:p>
            <w:pPr>
              <w:pStyle w:val="BodyText"/>
            </w:pPr>
            <w:r>
              <w:t xml:space="preserve">5 mg, 10 mg, 40 mg</w:t>
            </w:r>
          </w:p>
        </w:tc>
        <w:tc>
          <w:tcPr/>
          <w:p>
            <w:pPr>
              <w:pStyle w:val="Compact"/>
            </w:pPr>
            <w:r>
              <w:t xml:space="preserve">4.7</w:t>
            </w:r>
          </w:p>
        </w:tc>
      </w:tr>
      <w:tr>
        <w:tc>
          <w:tcPr/>
          <w:p>
            <w:pPr>
              <w:pStyle w:val="BodyText"/>
            </w:pPr>
            <w:r>
              <w:t xml:space="preserve">Morphine</w:t>
            </w:r>
          </w:p>
        </w:tc>
        <w:tc>
          <w:tcPr/>
          <w:p>
            <w:pPr>
              <w:pStyle w:val="BodyText"/>
            </w:pPr>
            <w:r>
              <w:t xml:space="preserve">10 mg, 15 mg, 20 mg, 40 mg, 45 mg, 50 mg, 60 mg, 70 mg, 75 mg, 80 mg, 90 mg, 100 mg, 120 mg, 130 mg, 150 mg, 200 mg, 2 mg/mL, 20 mg/mL</w:t>
            </w:r>
          </w:p>
        </w:tc>
        <w:tc>
          <w:tcPr/>
          <w:p>
            <w:pPr>
              <w:pStyle w:val="BodyText"/>
            </w:pPr>
            <w:r>
              <w:t xml:space="preserve">1</w:t>
            </w:r>
          </w:p>
        </w:tc>
      </w:tr>
      <w:tr>
        <w:tc>
          <w:tcPr/>
          <w:p>
            <w:pPr>
              <w:pStyle w:val="BodyText"/>
            </w:pPr>
            <w:r>
              <w:t xml:space="preserve">OxyCODONE (OxyCONTIN, Roxicodone)</w:t>
            </w:r>
          </w:p>
        </w:tc>
        <w:tc>
          <w:tcPr/>
          <w:p>
            <w:pPr>
              <w:pStyle w:val="BodyText"/>
            </w:pPr>
            <w:r>
              <w:t xml:space="preserve">5 mg, 7.5 mg, 10 mg, 15 mg, 20 mg, 30 mg, 40 mg, 60 mg, 80 mg, 1 mg/mL, 20 mg/mL</w:t>
            </w:r>
          </w:p>
        </w:tc>
        <w:tc>
          <w:tcPr/>
          <w:p>
            <w:pPr>
              <w:pStyle w:val="BodyText"/>
            </w:pPr>
            <w:r>
              <w:t xml:space="preserve">1.5</w:t>
            </w:r>
          </w:p>
        </w:tc>
      </w:tr>
      <w:tr>
        <w:tc>
          <w:tcPr/>
          <w:p>
            <w:pPr>
              <w:pStyle w:val="BodyText"/>
            </w:pPr>
            <w:r>
              <w:t xml:space="preserve">OxyMORphone</w:t>
            </w:r>
          </w:p>
        </w:tc>
        <w:tc>
          <w:tcPr/>
          <w:p>
            <w:pPr>
              <w:pStyle w:val="BodyText"/>
            </w:pPr>
            <w:r>
              <w:t xml:space="preserve">5 mg, 7.5 mg, 10 mg, 15 mg, 20 mg, 30 mg, 40 mg, 1 mg/mL</w:t>
            </w:r>
          </w:p>
        </w:tc>
        <w:tc>
          <w:tcPr/>
          <w:p>
            <w:pPr>
              <w:pStyle w:val="BodyText"/>
            </w:pPr>
            <w:r>
              <w:t xml:space="preserve">3</w:t>
            </w:r>
          </w:p>
        </w:tc>
      </w:tr>
      <w:tr>
        <w:tc>
          <w:tcPr/>
          <w:p>
            <w:pPr>
              <w:pStyle w:val="BodyText"/>
            </w:pPr>
            <w:r>
              <w:t xml:space="preserve">Tapentadol</w:t>
            </w:r>
            <w:r>
              <w:rPr>
                <w:vertAlign w:val="superscript"/>
              </w:rPr>
              <w:t xml:space="preserve">3</w:t>
            </w:r>
            <w:r>
              <w:t xml:space="preserve">, mg</w:t>
            </w:r>
          </w:p>
        </w:tc>
        <w:tc>
          <w:tcPr/>
          <w:p>
            <w:pPr>
              <w:pStyle w:val="Compact"/>
            </w:pPr>
          </w:p>
        </w:tc>
        <w:tc>
          <w:tcPr/>
          <w:p>
            <w:pPr>
              <w:pStyle w:val="BodyText"/>
            </w:pPr>
            <w:r>
              <w:t xml:space="preserve">0.4</w:t>
            </w:r>
          </w:p>
        </w:tc>
      </w:tr>
      <w:tr>
        <w:tc>
          <w:tcPr/>
          <w:p>
            <w:pPr>
              <w:pStyle w:val="BodyText"/>
            </w:pPr>
            <w:r>
              <w:t xml:space="preserve">TraMADol (Ultram), mg</w:t>
            </w:r>
          </w:p>
        </w:tc>
        <w:tc>
          <w:tcPr/>
          <w:p>
            <w:pPr>
              <w:pStyle w:val="Compact"/>
            </w:pPr>
          </w:p>
        </w:tc>
        <w:tc>
          <w:tcPr/>
          <w:p>
            <w:pPr>
              <w:pStyle w:val="BodyText"/>
            </w:pPr>
            <w:r>
              <w:t xml:space="preserve">0.2</w:t>
            </w:r>
          </w:p>
        </w:tc>
      </w:tr>
      <w:tr>
        <w:tc>
          <w:tcPr/>
          <w:p>
            <w:pPr>
              <w:pStyle w:val="BodyText"/>
            </w:pPr>
            <w:r>
              <w:t xml:space="preserve">Buprenorphine</w:t>
            </w:r>
            <w:r>
              <w:rPr>
                <w:vertAlign w:val="superscript"/>
              </w:rPr>
              <w:t xml:space="preserve">4</w:t>
            </w:r>
          </w:p>
        </w:tc>
        <w:tc>
          <w:tcPr/>
          <w:p>
            <w:pPr>
              <w:pStyle w:val="Compact"/>
            </w:pPr>
          </w:p>
        </w:tc>
        <w:tc>
          <w:tcPr/>
          <w:p>
            <w:pPr>
              <w:pStyle w:val="BodyText"/>
            </w:pPr>
            <w:r>
              <w:t xml:space="preserve">10</w:t>
            </w:r>
          </w:p>
        </w:tc>
      </w:tr>
    </w:tbl>
    <w:p>
      <w:pPr>
        <w:pStyle w:val="BodyText"/>
      </w:pPr>
      <w:r>
        <w:rPr>
          <w:vertAlign w:val="superscript"/>
        </w:rPr>
        <w:t xml:space="preserve">1</w:t>
      </w:r>
      <w:r>
        <w:t xml:space="preserve">Dosage in mcg/hr for fentaNYL patch, in mcg for fentaNYL buccal or sublingual tablets, and in mg for all other opioids.</w:t>
      </w:r>
    </w:p>
    <w:p>
      <w:pPr>
        <w:pStyle w:val="BodyText"/>
      </w:pPr>
      <w:r>
        <w:rPr>
          <w:vertAlign w:val="superscript"/>
        </w:rPr>
        <w:t xml:space="preserve">2</w:t>
      </w:r>
      <w:r>
        <w:t xml:space="preserve">These dose conversions are estimated and cannot account for individual differences in genetics and pharmacokinetics.</w:t>
      </w:r>
    </w:p>
    <w:p>
      <w:pPr>
        <w:pStyle w:val="BodyText"/>
      </w:pPr>
      <w:r>
        <w:rPr>
          <w:vertAlign w:val="superscript"/>
        </w:rPr>
        <w:t xml:space="preserve">3</w:t>
      </w:r>
      <w:r>
        <w:t xml:space="preserve">Conversion of methadone and tapentadol is particularly complex.</w:t>
      </w:r>
    </w:p>
    <w:p>
      <w:pPr>
        <w:pStyle w:val="BodyText"/>
      </w:pPr>
      <w:r>
        <w:rPr>
          <w:vertAlign w:val="superscript"/>
        </w:rPr>
        <w:t xml:space="preserve">4</w:t>
      </w:r>
      <w:r>
        <w:t xml:space="preserve">Buprenorphine is listed but, as a partial opioid agonist, is not expected to be associated with overdose risk in the same dose-dependent manner as doses for full agonist opioids and is therefore omitted from the calculator.</w:t>
      </w:r>
    </w:p>
    <w:bookmarkEnd w:id="21"/>
    <w:bookmarkStart w:id="23" w:name="facts-figures"/>
    <w:p>
      <w:pPr>
        <w:pStyle w:val="Heading2"/>
      </w:pPr>
      <w:r>
        <w:t xml:space="preserve">FACTS &amp; FIGURES</w:t>
      </w:r>
    </w:p>
    <w:p>
      <w:pPr>
        <w:pStyle w:val="FirstParagraph"/>
      </w:pPr>
      <w:r>
        <w:t xml:space="preserve">Interpretation:</w:t>
      </w:r>
    </w:p>
    <w:tbl>
      <w:tblPr>
        <w:tblStyle w:val="Table"/>
        <w:tblW w:type="auto" w:w="0"/>
        <w:tblLook w:firstRow="0" w:lastRow="0" w:firstColumn="0" w:lastColumn="0" w:noHBand="0" w:noVBand="0" w:val="0000"/>
      </w:tblPr>
      <w:tblGrid>
        <w:gridCol w:w="1980"/>
        <w:gridCol w:w="1980"/>
        <w:gridCol w:w="1980"/>
        <w:gridCol w:w="1980"/>
      </w:tblGrid>
      <w:tr>
        <w:tc>
          <w:tcPr/>
          <w:p>
            <w:pPr>
              <w:pStyle w:val="FirstParagraph"/>
            </w:pPr>
            <w:r>
              <w:rPr>
                <w:b/>
                <w:bCs/>
              </w:rPr>
              <w:t xml:space="preserve">MME range</w:t>
            </w:r>
          </w:p>
        </w:tc>
        <w:tc>
          <w:tcPr/>
          <w:p>
            <w:pPr>
              <w:pStyle w:val="BodyText"/>
            </w:pPr>
            <w:r>
              <w:rPr>
                <w:b/>
                <w:bCs/>
              </w:rPr>
              <w:t xml:space="preserve">Comparative risk*</w:t>
            </w:r>
          </w:p>
        </w:tc>
        <w:tc>
          <w:tcPr/>
          <w:p>
            <w:pPr>
              <w:pStyle w:val="BodyText"/>
            </w:pPr>
            <w:r>
              <w:rPr>
                <w:b/>
                <w:bCs/>
              </w:rPr>
              <w:t xml:space="preserve">Recommendation</w:t>
            </w:r>
          </w:p>
        </w:tc>
        <w:tc>
          <w:tcPr/>
          <w:p>
            <w:pPr>
              <w:pStyle w:val="BodyText"/>
            </w:pPr>
            <w:r>
              <w:rPr>
                <w:b/>
                <w:bCs/>
              </w:rPr>
              <w:t xml:space="preserve">Annual overdose rate</w:t>
            </w:r>
          </w:p>
        </w:tc>
      </w:tr>
      <w:tr>
        <w:tc>
          <w:tcPr/>
          <w:p>
            <w:pPr>
              <w:pStyle w:val="BodyText"/>
            </w:pPr>
            <w:r>
              <w:t xml:space="preserve">1 to &lt;20 MME/day</w:t>
            </w:r>
          </w:p>
        </w:tc>
        <w:tc>
          <w:tcPr/>
          <w:p>
            <w:pPr>
              <w:pStyle w:val="BodyText"/>
            </w:pPr>
            <w:r>
              <w:t xml:space="preserve">Reference</w:t>
            </w:r>
          </w:p>
        </w:tc>
        <w:tc>
          <w:tcPr/>
          <w:p>
            <w:pPr>
              <w:pStyle w:val="BodyText"/>
            </w:pPr>
            <w:r>
              <w:t xml:space="preserve">Acceptable therapeutic range for acute pain and opioid-naïve patients</w:t>
            </w:r>
          </w:p>
        </w:tc>
        <w:tc>
          <w:tcPr/>
          <w:p>
            <w:pPr>
              <w:pStyle w:val="BodyText"/>
            </w:pPr>
            <w:r>
              <w:t xml:space="preserve">0.2%</w:t>
            </w:r>
          </w:p>
        </w:tc>
      </w:tr>
      <w:tr>
        <w:tc>
          <w:tcPr/>
          <w:p>
            <w:pPr>
              <w:pStyle w:val="BodyText"/>
            </w:pPr>
            <w:r>
              <w:t xml:space="preserve">20 to &lt;50 MME/day</w:t>
            </w:r>
          </w:p>
        </w:tc>
        <w:tc>
          <w:tcPr/>
          <w:p>
            <w:pPr>
              <w:pStyle w:val="BodyText"/>
            </w:pPr>
            <w:r>
              <w:t xml:space="preserve">2x higher risk of overdose</w:t>
            </w:r>
          </w:p>
        </w:tc>
        <w:tc>
          <w:tcPr/>
          <w:p>
            <w:pPr>
              <w:pStyle w:val="BodyText"/>
            </w:pPr>
            <w:r>
              <w:t xml:space="preserve">There is no completely safe opioid dose; use caution when prescribing opioids at any dose and always prescribe the lowest effective dose</w:t>
            </w:r>
          </w:p>
        </w:tc>
        <w:tc>
          <w:tcPr/>
          <w:p>
            <w:pPr>
              <w:pStyle w:val="BodyText"/>
            </w:pPr>
            <w:r>
              <w:t xml:space="preserve">Data not available</w:t>
            </w:r>
          </w:p>
        </w:tc>
      </w:tr>
      <w:tr>
        <w:tc>
          <w:tcPr/>
          <w:p>
            <w:pPr>
              <w:pStyle w:val="BodyText"/>
            </w:pPr>
            <w:r>
              <w:t xml:space="preserve">50 to &lt;100 MME/day</w:t>
            </w:r>
          </w:p>
        </w:tc>
        <w:tc>
          <w:tcPr/>
          <w:p>
            <w:pPr>
              <w:pStyle w:val="BodyText"/>
            </w:pPr>
            <w:r>
              <w:t xml:space="preserve">3.7x higher risk of overdose</w:t>
            </w:r>
          </w:p>
        </w:tc>
        <w:tc>
          <w:tcPr/>
          <w:p>
            <w:pPr>
              <w:pStyle w:val="BodyText"/>
            </w:pPr>
            <w:r>
              <w:t xml:space="preserve">Strongly consider non-opioid analgesics and decreasing daily opioid dose</w:t>
            </w:r>
          </w:p>
        </w:tc>
        <w:tc>
          <w:tcPr/>
          <w:p>
            <w:pPr>
              <w:pStyle w:val="BodyText"/>
            </w:pPr>
            <w:r>
              <w:t xml:space="preserve">0.7%</w:t>
            </w:r>
          </w:p>
        </w:tc>
      </w:tr>
      <w:tr>
        <w:tc>
          <w:tcPr/>
          <w:p>
            <w:pPr>
              <w:pStyle w:val="BodyText"/>
            </w:pPr>
            <w:r>
              <w:t xml:space="preserve">≥100 MME/day</w:t>
            </w:r>
          </w:p>
        </w:tc>
        <w:tc>
          <w:tcPr/>
          <w:p>
            <w:pPr>
              <w:pStyle w:val="BodyText"/>
            </w:pPr>
            <w:r>
              <w:t xml:space="preserve">8.9x higher risk of overdose</w:t>
            </w:r>
          </w:p>
        </w:tc>
        <w:tc>
          <w:tcPr/>
          <w:p>
            <w:pPr>
              <w:pStyle w:val="BodyText"/>
            </w:pPr>
            <w:r>
              <w:t xml:space="preserve">Consult pain specialist to reassess pain regimen and decrease dosage and/or wean off opioids</w:t>
            </w:r>
          </w:p>
        </w:tc>
        <w:tc>
          <w:tcPr/>
          <w:p>
            <w:pPr>
              <w:pStyle w:val="BodyText"/>
            </w:pPr>
            <w:r>
              <w:t xml:space="preserve">1.8%</w:t>
            </w:r>
          </w:p>
        </w:tc>
      </w:tr>
    </w:tbl>
    <w:p>
      <w:pPr>
        <w:pStyle w:val="BodyText"/>
      </w:pPr>
      <w:r>
        <w:t xml:space="preserve">*Compared to &lt;20 MME/day.</w:t>
      </w:r>
    </w:p>
    <w:p>
      <w:pPr>
        <w:pStyle w:val="BodyText"/>
      </w:pPr>
      <w:r>
        <w:t xml:space="preserve">From</w:t>
      </w:r>
      <w:r>
        <w:t xml:space="preserve"> </w:t>
      </w:r>
      <w:hyperlink r:id="rId22">
        <w:r>
          <w:rPr>
            <w:rStyle w:val="Hyperlink"/>
          </w:rPr>
          <w:t xml:space="preserve">Dunn et al 2010</w:t>
        </w:r>
      </w:hyperlink>
      <w:r>
        <w:t xml:space="preserve">.</w:t>
      </w:r>
    </w:p>
    <w:bookmarkEnd w:id="23"/>
    <w:bookmarkStart w:id="26" w:name="evidence-appraisal"/>
    <w:p>
      <w:pPr>
        <w:pStyle w:val="Heading2"/>
      </w:pPr>
      <w:r>
        <w:t xml:space="preserve">EVIDENCE APPRAISAL</w:t>
      </w:r>
    </w:p>
    <w:p>
      <w:pPr>
        <w:pStyle w:val="FirstParagraph"/>
      </w:pPr>
      <w:r>
        <w:t xml:space="preserve">The</w:t>
      </w:r>
      <w:r>
        <w:t xml:space="preserve"> </w:t>
      </w:r>
      <w:hyperlink r:id="rId24">
        <w:r>
          <w:rPr>
            <w:rStyle w:val="Hyperlink"/>
          </w:rPr>
          <w:t xml:space="preserve">CDC review</w:t>
        </w:r>
      </w:hyperlink>
      <w:r>
        <w:t xml:space="preserve"> </w:t>
      </w:r>
      <w:r>
        <w:t xml:space="preserve">of opioid prescribing and overdose found that:</w:t>
      </w:r>
    </w:p>
    <w:p>
      <w:pPr>
        <w:numPr>
          <w:ilvl w:val="0"/>
          <w:numId w:val="1009"/>
        </w:numPr>
      </w:pPr>
      <w:r>
        <w:t xml:space="preserve">80% of patients on prescription opioids were prescribed low doses (&lt;100 mg MEDD) by a single provider—these patients account for 20% of all prescription opioid overdoses.</w:t>
      </w:r>
    </w:p>
    <w:p>
      <w:pPr>
        <w:numPr>
          <w:ilvl w:val="0"/>
          <w:numId w:val="1009"/>
        </w:numPr>
      </w:pPr>
      <w:r>
        <w:t xml:space="preserve">10% were prescribed high doses (≥100 mg MEDD) by a single prescriber—these patients account for 40% of all prescription opioid overdoses.</w:t>
      </w:r>
    </w:p>
    <w:p>
      <w:pPr>
        <w:numPr>
          <w:ilvl w:val="0"/>
          <w:numId w:val="1009"/>
        </w:numPr>
      </w:pPr>
      <w:r>
        <w:t xml:space="preserve">10% sought care from multiple doctors and were prescribed high daily doses—these patients account for an additional 40% of all prescription opioid overdoses.</w:t>
      </w:r>
    </w:p>
    <w:p>
      <w:pPr>
        <w:pStyle w:val="FirstParagraph"/>
      </w:pPr>
      <w:r>
        <w:t xml:space="preserve">Additionally,</w:t>
      </w:r>
    </w:p>
    <w:p>
      <w:pPr>
        <w:pStyle w:val="BodyText"/>
      </w:pPr>
      <w:bookmarkStart w:id="25" w:name="Xe47ed040a5cd423e8091f6976a6cc48cfdedba1"/>
      <w:bookmarkEnd w:id="25"/>
    </w:p>
    <w:p>
      <w:pPr>
        <w:numPr>
          <w:ilvl w:val="0"/>
          <w:numId w:val="1010"/>
        </w:numPr>
      </w:pPr>
      <w:r>
        <w:t xml:space="preserve">Patients receiving &gt;100mg daily MMEs are nine times more likely to overdose, and 12% of those overdoses result in death.</w:t>
      </w:r>
    </w:p>
    <w:p>
      <w:pPr>
        <w:numPr>
          <w:ilvl w:val="0"/>
          <w:numId w:val="1010"/>
        </w:numPr>
      </w:pPr>
      <w:r>
        <w:t xml:space="preserve">Patients receiving ≥50 mg daily MME are twice as likely to overdose in comparison to patients taking &lt;20 mg daily MME.</w:t>
      </w:r>
    </w:p>
    <w:p>
      <w:pPr>
        <w:numPr>
          <w:ilvl w:val="0"/>
          <w:numId w:val="1010"/>
        </w:numPr>
      </w:pPr>
      <w:r>
        <w:t xml:space="preserve">Research experts, federal agencies (CDC, Bureau of Justice Assistance, Substance Abuse and Mental Health Services Administration), and states' prescription drug monitoring programs (PDMPs) use the amount of daily MME prescribed to better gauge abuse potential, overdose potential of opioids, and tapering and/or weaning off opioids.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uropepmc.org/articles/pmc3000551" TargetMode="External" /><Relationship Type="http://schemas.openxmlformats.org/officeDocument/2006/relationships/hyperlink" Id="rId24" Target="https://www.cdc.gov/mmwr/preview/mmwrhtml/mm6101a3.htm" TargetMode="External" /></Relationships>
</file>

<file path=word/_rels/footnotes.xml.rels><?xml version="1.0" encoding="UTF-8"?><Relationships xmlns="http://schemas.openxmlformats.org/package/2006/relationships"><Relationship Type="http://schemas.openxmlformats.org/officeDocument/2006/relationships/hyperlink" Id="rId22" Target="https://europepmc.org/articles/pmc3000551" TargetMode="External" /><Relationship Type="http://schemas.openxmlformats.org/officeDocument/2006/relationships/hyperlink" Id="rId24" Target="https://www.cdc.gov/mmwr/preview/mmwrhtml/mm6101a3.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2024-07-22T20:04:28Z</dcterms:created>
  <dcterms:modified xsi:type="dcterms:W3CDTF">2024-07-22T20:04:28Z</dcterms:modified>
</cp:coreProperties>
</file>

<file path=docProps/custom.xml><?xml version="1.0" encoding="utf-8"?>
<Properties xmlns="http://schemas.openxmlformats.org/officeDocument/2006/custom-properties" xmlns:vt="http://schemas.openxmlformats.org/officeDocument/2006/docPropsVTypes"/>
</file>