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nih-stroke-scalescore-nihss"/>
    <w:p>
      <w:pPr>
        <w:pStyle w:val="Heading1"/>
      </w:pPr>
      <w:r>
        <w:t xml:space="preserve">NIH Stroke Scale/Score (NIHSS)</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1A: Level of consciousness</w:t>
            </w:r>
          </w:p>
          <w:p>
            <w:pPr>
              <w:pStyle w:val="BodyText"/>
            </w:pPr>
            <w:r>
              <w:rPr>
                <w:i/>
                <w:iCs/>
              </w:rPr>
              <w:t xml:space="preserve">May be assessed casually while taking history</w:t>
            </w:r>
          </w:p>
        </w:tc>
        <w:tc>
          <w:tcPr/>
          <w:p>
            <w:pPr>
              <w:pStyle w:val="Compact"/>
            </w:pPr>
            <w:r>
              <w:rPr>
                <w:b/>
                <w:bCs/>
              </w:rPr>
              <w:t xml:space="preserve">Options:</w:t>
            </w:r>
          </w:p>
          <w:p>
            <w:pPr>
              <w:pStyle w:val="Compact"/>
              <w:numPr>
                <w:ilvl w:val="0"/>
                <w:numId w:val="1001"/>
              </w:numPr>
            </w:pPr>
            <w:r>
              <w:t xml:space="preserve">Alert; keenly responsive (0)</w:t>
            </w:r>
          </w:p>
          <w:p>
            <w:pPr>
              <w:pStyle w:val="Compact"/>
              <w:numPr>
                <w:ilvl w:val="0"/>
                <w:numId w:val="1001"/>
              </w:numPr>
            </w:pPr>
            <w:r>
              <w:t xml:space="preserve">Arouses to minor stimulation (1)</w:t>
            </w:r>
          </w:p>
          <w:p>
            <w:pPr>
              <w:pStyle w:val="Compact"/>
              <w:numPr>
                <w:ilvl w:val="0"/>
                <w:numId w:val="1001"/>
              </w:numPr>
            </w:pPr>
            <w:r>
              <w:t xml:space="preserve">Requires repeated stimulation to arouse (2)</w:t>
            </w:r>
          </w:p>
          <w:p>
            <w:pPr>
              <w:pStyle w:val="Compact"/>
              <w:numPr>
                <w:ilvl w:val="0"/>
                <w:numId w:val="1001"/>
              </w:numPr>
            </w:pPr>
            <w:r>
              <w:t xml:space="preserve">Movements to pain (2)</w:t>
            </w:r>
          </w:p>
          <w:p>
            <w:pPr>
              <w:pStyle w:val="Compact"/>
              <w:numPr>
                <w:ilvl w:val="0"/>
                <w:numId w:val="1001"/>
              </w:numPr>
            </w:pPr>
            <w:r>
              <w:t xml:space="preserve">Postures or unresponsive (3)</w:t>
            </w:r>
          </w:p>
        </w:tc>
      </w:tr>
      <w:tr>
        <w:tc>
          <w:tcPr/>
          <w:p>
            <w:pPr>
              <w:pStyle w:val="FirstParagraph"/>
            </w:pPr>
            <w:r>
              <w:t xml:space="preserve">1B: Ask month and age</w:t>
            </w:r>
          </w:p>
          <w:p>
            <w:pPr>
              <w:pStyle w:val="BodyText"/>
            </w:pPr>
          </w:p>
        </w:tc>
        <w:tc>
          <w:tcPr/>
          <w:p>
            <w:pPr>
              <w:pStyle w:val="Compact"/>
            </w:pPr>
            <w:r>
              <w:rPr>
                <w:b/>
                <w:bCs/>
              </w:rPr>
              <w:t xml:space="preserve">Options:</w:t>
            </w:r>
          </w:p>
          <w:p>
            <w:pPr>
              <w:pStyle w:val="Compact"/>
              <w:numPr>
                <w:ilvl w:val="0"/>
                <w:numId w:val="1002"/>
              </w:numPr>
            </w:pPr>
            <w:r>
              <w:t xml:space="preserve">Both questions right (0)</w:t>
            </w:r>
          </w:p>
          <w:p>
            <w:pPr>
              <w:pStyle w:val="Compact"/>
              <w:numPr>
                <w:ilvl w:val="0"/>
                <w:numId w:val="1002"/>
              </w:numPr>
            </w:pPr>
            <w:r>
              <w:t xml:space="preserve">1 question right (1)</w:t>
            </w:r>
          </w:p>
          <w:p>
            <w:pPr>
              <w:pStyle w:val="Compact"/>
              <w:numPr>
                <w:ilvl w:val="0"/>
                <w:numId w:val="1002"/>
              </w:numPr>
            </w:pPr>
            <w:r>
              <w:t xml:space="preserve">0 questions right (2)</w:t>
            </w:r>
          </w:p>
          <w:p>
            <w:pPr>
              <w:pStyle w:val="Compact"/>
              <w:numPr>
                <w:ilvl w:val="0"/>
                <w:numId w:val="1002"/>
              </w:numPr>
            </w:pPr>
            <w:r>
              <w:t xml:space="preserve">Dysarthric/intubated/trauma/language barrier (1)</w:t>
            </w:r>
          </w:p>
          <w:p>
            <w:pPr>
              <w:pStyle w:val="Compact"/>
              <w:numPr>
                <w:ilvl w:val="0"/>
                <w:numId w:val="1002"/>
              </w:numPr>
            </w:pPr>
            <w:r>
              <w:t xml:space="preserve">Aphasic (2)</w:t>
            </w:r>
          </w:p>
        </w:tc>
      </w:tr>
      <w:tr>
        <w:tc>
          <w:tcPr/>
          <w:p>
            <w:pPr>
              <w:pStyle w:val="FirstParagraph"/>
            </w:pPr>
            <w:r>
              <w:t xml:space="preserve">1C: 'Blink eyes' &amp; 'squeeze hands'</w:t>
            </w:r>
          </w:p>
          <w:p>
            <w:pPr>
              <w:pStyle w:val="BodyText"/>
            </w:pPr>
            <w:r>
              <w:rPr>
                <w:i/>
                <w:iCs/>
              </w:rPr>
              <w:t xml:space="preserve">Pantomime commands if communication barrier</w:t>
            </w:r>
          </w:p>
        </w:tc>
        <w:tc>
          <w:tcPr/>
          <w:p>
            <w:pPr>
              <w:pStyle w:val="Compact"/>
            </w:pPr>
            <w:r>
              <w:rPr>
                <w:b/>
                <w:bCs/>
              </w:rPr>
              <w:t xml:space="preserve">Options:</w:t>
            </w:r>
          </w:p>
          <w:p>
            <w:pPr>
              <w:pStyle w:val="Compact"/>
              <w:numPr>
                <w:ilvl w:val="0"/>
                <w:numId w:val="1003"/>
              </w:numPr>
            </w:pPr>
            <w:r>
              <w:t xml:space="preserve">Performs both tasks (0)</w:t>
            </w:r>
          </w:p>
          <w:p>
            <w:pPr>
              <w:pStyle w:val="Compact"/>
              <w:numPr>
                <w:ilvl w:val="0"/>
                <w:numId w:val="1003"/>
              </w:numPr>
            </w:pPr>
            <w:r>
              <w:t xml:space="preserve">Performs 1 task (1)</w:t>
            </w:r>
          </w:p>
          <w:p>
            <w:pPr>
              <w:pStyle w:val="Compact"/>
              <w:numPr>
                <w:ilvl w:val="0"/>
                <w:numId w:val="1003"/>
              </w:numPr>
            </w:pPr>
            <w:r>
              <w:t xml:space="preserve">Performs 0 tasks (2)</w:t>
            </w:r>
          </w:p>
        </w:tc>
      </w:tr>
      <w:tr>
        <w:tc>
          <w:tcPr/>
          <w:p>
            <w:pPr>
              <w:pStyle w:val="FirstParagraph"/>
            </w:pPr>
            <w:r>
              <w:t xml:space="preserve">2: Horizontal extraocular movements</w:t>
            </w:r>
          </w:p>
          <w:p>
            <w:pPr>
              <w:pStyle w:val="BodyText"/>
            </w:pPr>
            <w:r>
              <w:rPr>
                <w:i/>
                <w:iCs/>
              </w:rPr>
              <w:t xml:space="preserve">Only assess horizontal gaze</w:t>
            </w:r>
          </w:p>
        </w:tc>
        <w:tc>
          <w:tcPr/>
          <w:p>
            <w:pPr>
              <w:pStyle w:val="Compact"/>
            </w:pPr>
            <w:r>
              <w:rPr>
                <w:b/>
                <w:bCs/>
              </w:rPr>
              <w:t xml:space="preserve">Options:</w:t>
            </w:r>
          </w:p>
          <w:p>
            <w:pPr>
              <w:pStyle w:val="Compact"/>
              <w:numPr>
                <w:ilvl w:val="0"/>
                <w:numId w:val="1004"/>
              </w:numPr>
            </w:pPr>
            <w:r>
              <w:t xml:space="preserve">Normal (0)</w:t>
            </w:r>
          </w:p>
          <w:p>
            <w:pPr>
              <w:pStyle w:val="Compact"/>
              <w:numPr>
                <w:ilvl w:val="0"/>
                <w:numId w:val="1004"/>
              </w:numPr>
            </w:pPr>
            <w:r>
              <w:t xml:space="preserve">Partial gaze palsy: can be overcome (1)</w:t>
            </w:r>
          </w:p>
          <w:p>
            <w:pPr>
              <w:pStyle w:val="Compact"/>
              <w:numPr>
                <w:ilvl w:val="0"/>
                <w:numId w:val="1004"/>
              </w:numPr>
            </w:pPr>
            <w:r>
              <w:t xml:space="preserve">Partial gaze palsy: corrects with oculocephalic reflex (1)</w:t>
            </w:r>
          </w:p>
          <w:p>
            <w:pPr>
              <w:pStyle w:val="Compact"/>
              <w:numPr>
                <w:ilvl w:val="0"/>
                <w:numId w:val="1004"/>
              </w:numPr>
            </w:pPr>
            <w:r>
              <w:t xml:space="preserve">Forced gaze palsy: cannot be overcome (2)</w:t>
            </w:r>
          </w:p>
        </w:tc>
      </w:tr>
      <w:tr>
        <w:tc>
          <w:tcPr/>
          <w:p>
            <w:pPr>
              <w:pStyle w:val="FirstParagraph"/>
            </w:pPr>
            <w:r>
              <w:t xml:space="preserve">3: Visual fields</w:t>
            </w:r>
          </w:p>
          <w:p>
            <w:pPr>
              <w:pStyle w:val="BodyText"/>
            </w:pPr>
          </w:p>
        </w:tc>
        <w:tc>
          <w:tcPr/>
          <w:p>
            <w:pPr>
              <w:pStyle w:val="Compact"/>
            </w:pPr>
            <w:r>
              <w:rPr>
                <w:b/>
                <w:bCs/>
              </w:rPr>
              <w:t xml:space="preserve">Options:</w:t>
            </w:r>
          </w:p>
          <w:p>
            <w:pPr>
              <w:pStyle w:val="Compact"/>
              <w:numPr>
                <w:ilvl w:val="0"/>
                <w:numId w:val="1005"/>
              </w:numPr>
            </w:pPr>
            <w:r>
              <w:t xml:space="preserve">No visual loss (0)</w:t>
            </w:r>
          </w:p>
          <w:p>
            <w:pPr>
              <w:pStyle w:val="Compact"/>
              <w:numPr>
                <w:ilvl w:val="0"/>
                <w:numId w:val="1005"/>
              </w:numPr>
            </w:pPr>
            <w:r>
              <w:t xml:space="preserve">Partial hemianopia (1)</w:t>
            </w:r>
          </w:p>
          <w:p>
            <w:pPr>
              <w:pStyle w:val="Compact"/>
              <w:numPr>
                <w:ilvl w:val="0"/>
                <w:numId w:val="1005"/>
              </w:numPr>
            </w:pPr>
            <w:r>
              <w:t xml:space="preserve">Complete hemianopia (2)</w:t>
            </w:r>
          </w:p>
          <w:p>
            <w:pPr>
              <w:pStyle w:val="Compact"/>
              <w:numPr>
                <w:ilvl w:val="0"/>
                <w:numId w:val="1005"/>
              </w:numPr>
            </w:pPr>
            <w:r>
              <w:t xml:space="preserve">Patient is bilaterally blind (3)</w:t>
            </w:r>
          </w:p>
          <w:p>
            <w:pPr>
              <w:pStyle w:val="Compact"/>
              <w:numPr>
                <w:ilvl w:val="0"/>
                <w:numId w:val="1005"/>
              </w:numPr>
            </w:pPr>
            <w:r>
              <w:t xml:space="preserve">Bilateral hemianopia (3)</w:t>
            </w:r>
          </w:p>
        </w:tc>
      </w:tr>
      <w:tr>
        <w:tc>
          <w:tcPr/>
          <w:p>
            <w:pPr>
              <w:pStyle w:val="FirstParagraph"/>
            </w:pPr>
            <w:r>
              <w:t xml:space="preserve">4: Facial palsy</w:t>
            </w:r>
          </w:p>
          <w:p>
            <w:pPr>
              <w:pStyle w:val="BodyText"/>
            </w:pPr>
            <w:r>
              <w:rPr>
                <w:i/>
                <w:iCs/>
              </w:rPr>
              <w:t xml:space="preserve">Use grimace if obtunded</w:t>
            </w:r>
          </w:p>
        </w:tc>
        <w:tc>
          <w:tcPr/>
          <w:p>
            <w:pPr>
              <w:pStyle w:val="Compact"/>
            </w:pPr>
            <w:r>
              <w:rPr>
                <w:b/>
                <w:bCs/>
              </w:rPr>
              <w:t xml:space="preserve">Options:</w:t>
            </w:r>
          </w:p>
          <w:p>
            <w:pPr>
              <w:pStyle w:val="Compact"/>
              <w:numPr>
                <w:ilvl w:val="0"/>
                <w:numId w:val="1006"/>
              </w:numPr>
            </w:pPr>
            <w:r>
              <w:t xml:space="preserve">Normal symmetry (0)</w:t>
            </w:r>
          </w:p>
          <w:p>
            <w:pPr>
              <w:pStyle w:val="Compact"/>
              <w:numPr>
                <w:ilvl w:val="0"/>
                <w:numId w:val="1006"/>
              </w:numPr>
            </w:pPr>
            <w:r>
              <w:t xml:space="preserve">Minor paralysis (flat nasolabial fold, smile asymmetry) (1)</w:t>
            </w:r>
          </w:p>
          <w:p>
            <w:pPr>
              <w:pStyle w:val="Compact"/>
              <w:numPr>
                <w:ilvl w:val="0"/>
                <w:numId w:val="1006"/>
              </w:numPr>
            </w:pPr>
            <w:r>
              <w:t xml:space="preserve">Partial paralysis (lower face) (2)</w:t>
            </w:r>
          </w:p>
          <w:p>
            <w:pPr>
              <w:pStyle w:val="Compact"/>
              <w:numPr>
                <w:ilvl w:val="0"/>
                <w:numId w:val="1006"/>
              </w:numPr>
            </w:pPr>
            <w:r>
              <w:t xml:space="preserve">Unilateral complete paralysis (upper/lower face) (3)</w:t>
            </w:r>
          </w:p>
          <w:p>
            <w:pPr>
              <w:pStyle w:val="Compact"/>
              <w:numPr>
                <w:ilvl w:val="0"/>
                <w:numId w:val="1006"/>
              </w:numPr>
            </w:pPr>
            <w:r>
              <w:t xml:space="preserve">Bilateral complete paralysis (upper/lower face) (3)</w:t>
            </w:r>
          </w:p>
        </w:tc>
      </w:tr>
      <w:tr>
        <w:tc>
          <w:tcPr/>
          <w:p>
            <w:pPr>
              <w:pStyle w:val="FirstParagraph"/>
            </w:pPr>
            <w:r>
              <w:t xml:space="preserve">5A: Left arm motor drift</w:t>
            </w:r>
          </w:p>
          <w:p>
            <w:pPr>
              <w:pStyle w:val="BodyText"/>
            </w:pPr>
            <w:r>
              <w:rPr>
                <w:i/>
                <w:iCs/>
              </w:rPr>
              <w:t xml:space="preserve">Count out loud and use your fingers to show the patient your count</w:t>
            </w:r>
          </w:p>
        </w:tc>
        <w:tc>
          <w:tcPr/>
          <w:p>
            <w:pPr>
              <w:pStyle w:val="Compact"/>
            </w:pPr>
            <w:r>
              <w:rPr>
                <w:b/>
                <w:bCs/>
              </w:rPr>
              <w:t xml:space="preserve">Options:</w:t>
            </w:r>
          </w:p>
          <w:p>
            <w:pPr>
              <w:pStyle w:val="Compact"/>
              <w:numPr>
                <w:ilvl w:val="0"/>
                <w:numId w:val="1007"/>
              </w:numPr>
            </w:pPr>
            <w:r>
              <w:t xml:space="preserve">No drift for 10 seconds (0)</w:t>
            </w:r>
          </w:p>
          <w:p>
            <w:pPr>
              <w:pStyle w:val="Compact"/>
              <w:numPr>
                <w:ilvl w:val="0"/>
                <w:numId w:val="1007"/>
              </w:numPr>
            </w:pPr>
            <w:r>
              <w:t xml:space="preserve">Drift, but doesn't hit bed (1)</w:t>
            </w:r>
          </w:p>
          <w:p>
            <w:pPr>
              <w:pStyle w:val="Compact"/>
              <w:numPr>
                <w:ilvl w:val="0"/>
                <w:numId w:val="1007"/>
              </w:numPr>
            </w:pPr>
            <w:r>
              <w:t xml:space="preserve">Drift, hits bed (2)</w:t>
            </w:r>
          </w:p>
          <w:p>
            <w:pPr>
              <w:pStyle w:val="Compact"/>
              <w:numPr>
                <w:ilvl w:val="0"/>
                <w:numId w:val="1007"/>
              </w:numPr>
            </w:pPr>
            <w:r>
              <w:t xml:space="preserve">Some effort against gravity (2)</w:t>
            </w:r>
          </w:p>
          <w:p>
            <w:pPr>
              <w:pStyle w:val="Compact"/>
              <w:numPr>
                <w:ilvl w:val="0"/>
                <w:numId w:val="1007"/>
              </w:numPr>
            </w:pPr>
            <w:r>
              <w:t xml:space="preserve">No effort against gravity (3)</w:t>
            </w:r>
          </w:p>
          <w:p>
            <w:pPr>
              <w:pStyle w:val="Compact"/>
              <w:numPr>
                <w:ilvl w:val="0"/>
                <w:numId w:val="1007"/>
              </w:numPr>
            </w:pPr>
            <w:r>
              <w:t xml:space="preserve">No movement (4)</w:t>
            </w:r>
          </w:p>
          <w:p>
            <w:pPr>
              <w:pStyle w:val="Compact"/>
              <w:numPr>
                <w:ilvl w:val="0"/>
                <w:numId w:val="1007"/>
              </w:numPr>
            </w:pPr>
            <w:r>
              <w:t xml:space="preserve">Amputation/joint fusion (0)</w:t>
            </w:r>
          </w:p>
        </w:tc>
      </w:tr>
      <w:tr>
        <w:tc>
          <w:tcPr/>
          <w:p>
            <w:pPr>
              <w:pStyle w:val="FirstParagraph"/>
            </w:pPr>
            <w:r>
              <w:t xml:space="preserve">5B: Right arm motor drift</w:t>
            </w:r>
          </w:p>
          <w:p>
            <w:pPr>
              <w:pStyle w:val="BodyText"/>
            </w:pPr>
            <w:r>
              <w:rPr>
                <w:i/>
                <w:iCs/>
              </w:rPr>
              <w:t xml:space="preserve">Count out loud and use your fingers to show the patient your count</w:t>
            </w:r>
          </w:p>
        </w:tc>
        <w:tc>
          <w:tcPr/>
          <w:p>
            <w:pPr>
              <w:pStyle w:val="Compact"/>
            </w:pPr>
            <w:r>
              <w:rPr>
                <w:b/>
                <w:bCs/>
              </w:rPr>
              <w:t xml:space="preserve">Options:</w:t>
            </w:r>
          </w:p>
          <w:p>
            <w:pPr>
              <w:pStyle w:val="Compact"/>
              <w:numPr>
                <w:ilvl w:val="0"/>
                <w:numId w:val="1008"/>
              </w:numPr>
            </w:pPr>
            <w:r>
              <w:t xml:space="preserve">No drift for 10 seconds (0)</w:t>
            </w:r>
          </w:p>
          <w:p>
            <w:pPr>
              <w:pStyle w:val="Compact"/>
              <w:numPr>
                <w:ilvl w:val="0"/>
                <w:numId w:val="1008"/>
              </w:numPr>
            </w:pPr>
            <w:r>
              <w:t xml:space="preserve">Drift, but doesn't hit bed (1)</w:t>
            </w:r>
          </w:p>
          <w:p>
            <w:pPr>
              <w:pStyle w:val="Compact"/>
              <w:numPr>
                <w:ilvl w:val="0"/>
                <w:numId w:val="1008"/>
              </w:numPr>
            </w:pPr>
            <w:r>
              <w:t xml:space="preserve">Drift, hits bed (2)</w:t>
            </w:r>
          </w:p>
          <w:p>
            <w:pPr>
              <w:pStyle w:val="Compact"/>
              <w:numPr>
                <w:ilvl w:val="0"/>
                <w:numId w:val="1008"/>
              </w:numPr>
            </w:pPr>
            <w:r>
              <w:t xml:space="preserve">Some effort against gravity (2)</w:t>
            </w:r>
          </w:p>
          <w:p>
            <w:pPr>
              <w:pStyle w:val="Compact"/>
              <w:numPr>
                <w:ilvl w:val="0"/>
                <w:numId w:val="1008"/>
              </w:numPr>
            </w:pPr>
            <w:r>
              <w:t xml:space="preserve">No effort against gravity (3)</w:t>
            </w:r>
          </w:p>
          <w:p>
            <w:pPr>
              <w:pStyle w:val="Compact"/>
              <w:numPr>
                <w:ilvl w:val="0"/>
                <w:numId w:val="1008"/>
              </w:numPr>
            </w:pPr>
            <w:r>
              <w:t xml:space="preserve">No movement (4)</w:t>
            </w:r>
          </w:p>
          <w:p>
            <w:pPr>
              <w:pStyle w:val="Compact"/>
              <w:numPr>
                <w:ilvl w:val="0"/>
                <w:numId w:val="1008"/>
              </w:numPr>
            </w:pPr>
            <w:r>
              <w:t xml:space="preserve">Amputation/joint fusion (0)</w:t>
            </w:r>
          </w:p>
        </w:tc>
      </w:tr>
      <w:tr>
        <w:tc>
          <w:tcPr/>
          <w:p>
            <w:pPr>
              <w:pStyle w:val="FirstParagraph"/>
            </w:pPr>
            <w:r>
              <w:t xml:space="preserve">6A: Left leg motor drift</w:t>
            </w:r>
          </w:p>
          <w:p>
            <w:pPr>
              <w:pStyle w:val="BodyText"/>
            </w:pPr>
            <w:r>
              <w:rPr>
                <w:i/>
                <w:iCs/>
              </w:rPr>
              <w:t xml:space="preserve">Count out loud and use your fingers to show the patient your count</w:t>
            </w:r>
          </w:p>
        </w:tc>
        <w:tc>
          <w:tcPr/>
          <w:p>
            <w:pPr>
              <w:pStyle w:val="Compact"/>
            </w:pPr>
            <w:r>
              <w:rPr>
                <w:b/>
                <w:bCs/>
              </w:rPr>
              <w:t xml:space="preserve">Options:</w:t>
            </w:r>
          </w:p>
          <w:p>
            <w:pPr>
              <w:pStyle w:val="Compact"/>
              <w:numPr>
                <w:ilvl w:val="0"/>
                <w:numId w:val="1009"/>
              </w:numPr>
            </w:pPr>
            <w:r>
              <w:t xml:space="preserve">No drift for 5 seconds (0)</w:t>
            </w:r>
          </w:p>
          <w:p>
            <w:pPr>
              <w:pStyle w:val="Compact"/>
              <w:numPr>
                <w:ilvl w:val="0"/>
                <w:numId w:val="1009"/>
              </w:numPr>
            </w:pPr>
            <w:r>
              <w:t xml:space="preserve">Drift, but doesn't hit bed (1)</w:t>
            </w:r>
          </w:p>
          <w:p>
            <w:pPr>
              <w:pStyle w:val="Compact"/>
              <w:numPr>
                <w:ilvl w:val="0"/>
                <w:numId w:val="1009"/>
              </w:numPr>
            </w:pPr>
            <w:r>
              <w:t xml:space="preserve">Drift, hits bed (2)</w:t>
            </w:r>
          </w:p>
          <w:p>
            <w:pPr>
              <w:pStyle w:val="Compact"/>
              <w:numPr>
                <w:ilvl w:val="0"/>
                <w:numId w:val="1009"/>
              </w:numPr>
            </w:pPr>
            <w:r>
              <w:t xml:space="preserve">Some effort against gravity (2)</w:t>
            </w:r>
          </w:p>
          <w:p>
            <w:pPr>
              <w:pStyle w:val="Compact"/>
              <w:numPr>
                <w:ilvl w:val="0"/>
                <w:numId w:val="1009"/>
              </w:numPr>
            </w:pPr>
            <w:r>
              <w:t xml:space="preserve">No effort against gravity (3)</w:t>
            </w:r>
          </w:p>
          <w:p>
            <w:pPr>
              <w:pStyle w:val="Compact"/>
              <w:numPr>
                <w:ilvl w:val="0"/>
                <w:numId w:val="1009"/>
              </w:numPr>
            </w:pPr>
            <w:r>
              <w:t xml:space="preserve">No movement (4)</w:t>
            </w:r>
          </w:p>
          <w:p>
            <w:pPr>
              <w:pStyle w:val="Compact"/>
              <w:numPr>
                <w:ilvl w:val="0"/>
                <w:numId w:val="1009"/>
              </w:numPr>
            </w:pPr>
            <w:r>
              <w:t xml:space="preserve">Amputation/joint fusion (0)</w:t>
            </w:r>
          </w:p>
        </w:tc>
      </w:tr>
      <w:tr>
        <w:tc>
          <w:tcPr/>
          <w:p>
            <w:pPr>
              <w:pStyle w:val="FirstParagraph"/>
            </w:pPr>
            <w:r>
              <w:t xml:space="preserve">6B: Right leg motor drift</w:t>
            </w:r>
          </w:p>
          <w:p>
            <w:pPr>
              <w:pStyle w:val="BodyText"/>
            </w:pPr>
            <w:r>
              <w:rPr>
                <w:i/>
                <w:iCs/>
              </w:rPr>
              <w:t xml:space="preserve">Count out loud and use your fingers to show the patient your count</w:t>
            </w:r>
          </w:p>
        </w:tc>
        <w:tc>
          <w:tcPr/>
          <w:p>
            <w:pPr>
              <w:pStyle w:val="Compact"/>
            </w:pPr>
            <w:r>
              <w:rPr>
                <w:b/>
                <w:bCs/>
              </w:rPr>
              <w:t xml:space="preserve">Options:</w:t>
            </w:r>
          </w:p>
          <w:p>
            <w:pPr>
              <w:pStyle w:val="Compact"/>
              <w:numPr>
                <w:ilvl w:val="0"/>
                <w:numId w:val="1010"/>
              </w:numPr>
            </w:pPr>
            <w:r>
              <w:t xml:space="preserve">No drift for 5 seconds (0)</w:t>
            </w:r>
          </w:p>
          <w:p>
            <w:pPr>
              <w:pStyle w:val="Compact"/>
              <w:numPr>
                <w:ilvl w:val="0"/>
                <w:numId w:val="1010"/>
              </w:numPr>
            </w:pPr>
            <w:r>
              <w:t xml:space="preserve">Drift, but doesn't hit bed (1)</w:t>
            </w:r>
          </w:p>
          <w:p>
            <w:pPr>
              <w:pStyle w:val="Compact"/>
              <w:numPr>
                <w:ilvl w:val="0"/>
                <w:numId w:val="1010"/>
              </w:numPr>
            </w:pPr>
            <w:r>
              <w:t xml:space="preserve">Drift, hits bed (2)</w:t>
            </w:r>
          </w:p>
          <w:p>
            <w:pPr>
              <w:pStyle w:val="Compact"/>
              <w:numPr>
                <w:ilvl w:val="0"/>
                <w:numId w:val="1010"/>
              </w:numPr>
            </w:pPr>
            <w:r>
              <w:t xml:space="preserve">Some effort against gravity (2)</w:t>
            </w:r>
          </w:p>
          <w:p>
            <w:pPr>
              <w:pStyle w:val="Compact"/>
              <w:numPr>
                <w:ilvl w:val="0"/>
                <w:numId w:val="1010"/>
              </w:numPr>
            </w:pPr>
            <w:r>
              <w:t xml:space="preserve">No effort against gravity (3)</w:t>
            </w:r>
          </w:p>
          <w:p>
            <w:pPr>
              <w:pStyle w:val="Compact"/>
              <w:numPr>
                <w:ilvl w:val="0"/>
                <w:numId w:val="1010"/>
              </w:numPr>
            </w:pPr>
            <w:r>
              <w:t xml:space="preserve">No movement (4)</w:t>
            </w:r>
          </w:p>
          <w:p>
            <w:pPr>
              <w:pStyle w:val="Compact"/>
              <w:numPr>
                <w:ilvl w:val="0"/>
                <w:numId w:val="1010"/>
              </w:numPr>
            </w:pPr>
            <w:r>
              <w:t xml:space="preserve">Amputation/joint fusion (0)</w:t>
            </w:r>
          </w:p>
        </w:tc>
      </w:tr>
      <w:tr>
        <w:tc>
          <w:tcPr/>
          <w:p>
            <w:pPr>
              <w:pStyle w:val="FirstParagraph"/>
            </w:pPr>
            <w:r>
              <w:t xml:space="preserve">7: Limb Ataxia</w:t>
            </w:r>
          </w:p>
          <w:p>
            <w:pPr>
              <w:pStyle w:val="BodyText"/>
            </w:pPr>
            <w:r>
              <w:rPr>
                <w:i/>
                <w:iCs/>
              </w:rPr>
              <w:t xml:space="preserve">FNF/heel-shin</w:t>
            </w:r>
          </w:p>
        </w:tc>
        <w:tc>
          <w:tcPr/>
          <w:p>
            <w:pPr>
              <w:pStyle w:val="Compact"/>
            </w:pPr>
            <w:r>
              <w:rPr>
                <w:b/>
                <w:bCs/>
              </w:rPr>
              <w:t xml:space="preserve">Options:</w:t>
            </w:r>
          </w:p>
          <w:p>
            <w:pPr>
              <w:pStyle w:val="Compact"/>
              <w:numPr>
                <w:ilvl w:val="0"/>
                <w:numId w:val="1011"/>
              </w:numPr>
            </w:pPr>
            <w:r>
              <w:t xml:space="preserve">No ataxia (0)</w:t>
            </w:r>
          </w:p>
          <w:p>
            <w:pPr>
              <w:pStyle w:val="Compact"/>
              <w:numPr>
                <w:ilvl w:val="0"/>
                <w:numId w:val="1011"/>
              </w:numPr>
            </w:pPr>
            <w:r>
              <w:t xml:space="preserve">Ataxia in 1 Limb (1)</w:t>
            </w:r>
          </w:p>
          <w:p>
            <w:pPr>
              <w:pStyle w:val="Compact"/>
              <w:numPr>
                <w:ilvl w:val="0"/>
                <w:numId w:val="1011"/>
              </w:numPr>
            </w:pPr>
            <w:r>
              <w:t xml:space="preserve">Ataxia in 2 Limbs (2)</w:t>
            </w:r>
          </w:p>
          <w:p>
            <w:pPr>
              <w:pStyle w:val="Compact"/>
              <w:numPr>
                <w:ilvl w:val="0"/>
                <w:numId w:val="1011"/>
              </w:numPr>
            </w:pPr>
            <w:r>
              <w:t xml:space="preserve">Does not understand (0)</w:t>
            </w:r>
          </w:p>
          <w:p>
            <w:pPr>
              <w:pStyle w:val="Compact"/>
              <w:numPr>
                <w:ilvl w:val="0"/>
                <w:numId w:val="1011"/>
              </w:numPr>
            </w:pPr>
            <w:r>
              <w:t xml:space="preserve">Paralyzed (0)</w:t>
            </w:r>
          </w:p>
          <w:p>
            <w:pPr>
              <w:pStyle w:val="Compact"/>
              <w:numPr>
                <w:ilvl w:val="0"/>
                <w:numId w:val="1011"/>
              </w:numPr>
            </w:pPr>
            <w:r>
              <w:t xml:space="preserve">Amputation/joint fusion (0)</w:t>
            </w:r>
          </w:p>
        </w:tc>
      </w:tr>
      <w:tr>
        <w:tc>
          <w:tcPr/>
          <w:p>
            <w:pPr>
              <w:pStyle w:val="FirstParagraph"/>
            </w:pPr>
            <w:r>
              <w:t xml:space="preserve">8: Sensation</w:t>
            </w:r>
          </w:p>
          <w:p>
            <w:pPr>
              <w:pStyle w:val="BodyText"/>
            </w:pPr>
          </w:p>
        </w:tc>
        <w:tc>
          <w:tcPr/>
          <w:p>
            <w:pPr>
              <w:pStyle w:val="Compact"/>
            </w:pPr>
            <w:r>
              <w:rPr>
                <w:b/>
                <w:bCs/>
              </w:rPr>
              <w:t xml:space="preserve">Options:</w:t>
            </w:r>
          </w:p>
          <w:p>
            <w:pPr>
              <w:pStyle w:val="Compact"/>
              <w:numPr>
                <w:ilvl w:val="0"/>
                <w:numId w:val="1012"/>
              </w:numPr>
            </w:pPr>
            <w:r>
              <w:t xml:space="preserve">Normal; no sensory loss (0)</w:t>
            </w:r>
          </w:p>
          <w:p>
            <w:pPr>
              <w:pStyle w:val="Compact"/>
              <w:numPr>
                <w:ilvl w:val="0"/>
                <w:numId w:val="1012"/>
              </w:numPr>
            </w:pPr>
            <w:r>
              <w:t xml:space="preserve">Mild-moderate loss: less sharp/more dull (1)</w:t>
            </w:r>
          </w:p>
          <w:p>
            <w:pPr>
              <w:pStyle w:val="Compact"/>
              <w:numPr>
                <w:ilvl w:val="0"/>
                <w:numId w:val="1012"/>
              </w:numPr>
            </w:pPr>
            <w:r>
              <w:t xml:space="preserve">Mild-moderate loss: can sense being touched (1)</w:t>
            </w:r>
          </w:p>
          <w:p>
            <w:pPr>
              <w:pStyle w:val="Compact"/>
              <w:numPr>
                <w:ilvl w:val="0"/>
                <w:numId w:val="1012"/>
              </w:numPr>
            </w:pPr>
            <w:r>
              <w:t xml:space="preserve">Complete loss: cannot sense being touched at all (2)</w:t>
            </w:r>
          </w:p>
          <w:p>
            <w:pPr>
              <w:pStyle w:val="Compact"/>
              <w:numPr>
                <w:ilvl w:val="0"/>
                <w:numId w:val="1012"/>
              </w:numPr>
            </w:pPr>
            <w:r>
              <w:t xml:space="preserve">No response and quadriplegic (2)</w:t>
            </w:r>
          </w:p>
          <w:p>
            <w:pPr>
              <w:pStyle w:val="Compact"/>
              <w:numPr>
                <w:ilvl w:val="0"/>
                <w:numId w:val="1012"/>
              </w:numPr>
            </w:pPr>
            <w:r>
              <w:t xml:space="preserve">Coma/unresponsive (2)</w:t>
            </w:r>
          </w:p>
        </w:tc>
      </w:tr>
      <w:tr>
        <w:tc>
          <w:tcPr/>
          <w:p>
            <w:pPr>
              <w:pStyle w:val="FirstParagraph"/>
            </w:pPr>
            <w:r>
              <w:t xml:space="preserve">9: Language/aphasia</w:t>
            </w:r>
          </w:p>
          <w:p>
            <w:pPr>
              <w:pStyle w:val="BodyText"/>
            </w:pPr>
            <w:r>
              <w:rPr>
                <w:i/>
                <w:iCs/>
              </w:rPr>
              <w:t xml:space="preserve">Describe the scene; name the items; read the sentences (see</w:t>
            </w:r>
            <w:r>
              <w:rPr>
                <w:i/>
                <w:iCs/>
              </w:rPr>
              <w:t xml:space="preserve"> </w:t>
            </w:r>
            <w:hyperlink w:anchor="evidence">
              <w:r>
                <w:rPr>
                  <w:rStyle w:val="Hyperlink"/>
                  <w:i/>
                  <w:iCs/>
                </w:rPr>
                <w:t xml:space="preserve">Evidence</w:t>
              </w:r>
            </w:hyperlink>
            <w:r>
              <w:rPr>
                <w:i/>
                <w:iCs/>
              </w:rPr>
              <w:t xml:space="preserve">)</w:t>
            </w:r>
          </w:p>
        </w:tc>
        <w:tc>
          <w:tcPr/>
          <w:p>
            <w:pPr>
              <w:pStyle w:val="Compact"/>
            </w:pPr>
            <w:r>
              <w:rPr>
                <w:b/>
                <w:bCs/>
              </w:rPr>
              <w:t xml:space="preserve">Options:</w:t>
            </w:r>
          </w:p>
          <w:p>
            <w:pPr>
              <w:pStyle w:val="Compact"/>
              <w:numPr>
                <w:ilvl w:val="0"/>
                <w:numId w:val="1013"/>
              </w:numPr>
            </w:pPr>
            <w:r>
              <w:t xml:space="preserve">Normal; no aphasia (0)</w:t>
            </w:r>
          </w:p>
          <w:p>
            <w:pPr>
              <w:pStyle w:val="Compact"/>
              <w:numPr>
                <w:ilvl w:val="0"/>
                <w:numId w:val="1013"/>
              </w:numPr>
            </w:pPr>
            <w:r>
              <w:t xml:space="preserve">Mild-moderate aphasia: some obvious changes, without significant limitation (1)</w:t>
            </w:r>
          </w:p>
          <w:p>
            <w:pPr>
              <w:pStyle w:val="Compact"/>
              <w:numPr>
                <w:ilvl w:val="0"/>
                <w:numId w:val="1013"/>
              </w:numPr>
            </w:pPr>
            <w:r>
              <w:t xml:space="preserve">Severe aphasia: fragmentary expression, inference needed, cannot identify materials (2)</w:t>
            </w:r>
          </w:p>
          <w:p>
            <w:pPr>
              <w:pStyle w:val="Compact"/>
              <w:numPr>
                <w:ilvl w:val="0"/>
                <w:numId w:val="1013"/>
              </w:numPr>
            </w:pPr>
            <w:r>
              <w:t xml:space="preserve">Mute/global aphasia: no usable speech/auditory comprehension (3)</w:t>
            </w:r>
          </w:p>
          <w:p>
            <w:pPr>
              <w:pStyle w:val="Compact"/>
              <w:numPr>
                <w:ilvl w:val="0"/>
                <w:numId w:val="1013"/>
              </w:numPr>
            </w:pPr>
            <w:r>
              <w:t xml:space="preserve">Coma/unresponsive (3)</w:t>
            </w:r>
          </w:p>
        </w:tc>
      </w:tr>
      <w:tr>
        <w:tc>
          <w:tcPr/>
          <w:p>
            <w:pPr>
              <w:pStyle w:val="FirstParagraph"/>
            </w:pPr>
            <w:r>
              <w:t xml:space="preserve">10: Dysarthria</w:t>
            </w:r>
          </w:p>
          <w:p>
            <w:pPr>
              <w:pStyle w:val="BodyText"/>
            </w:pPr>
            <w:r>
              <w:rPr>
                <w:i/>
                <w:iCs/>
              </w:rPr>
              <w:t xml:space="preserve">Read the words (see</w:t>
            </w:r>
            <w:r>
              <w:rPr>
                <w:i/>
                <w:iCs/>
              </w:rPr>
              <w:t xml:space="preserve"> </w:t>
            </w:r>
            <w:hyperlink w:anchor="evidence">
              <w:r>
                <w:rPr>
                  <w:rStyle w:val="Hyperlink"/>
                  <w:i/>
                  <w:iCs/>
                </w:rPr>
                <w:t xml:space="preserve">Evidence</w:t>
              </w:r>
            </w:hyperlink>
            <w:r>
              <w:rPr>
                <w:i/>
                <w:iCs/>
              </w:rPr>
              <w:t xml:space="preserve">)</w:t>
            </w:r>
          </w:p>
        </w:tc>
        <w:tc>
          <w:tcPr/>
          <w:p>
            <w:pPr>
              <w:pStyle w:val="Compact"/>
            </w:pPr>
            <w:r>
              <w:rPr>
                <w:b/>
                <w:bCs/>
              </w:rPr>
              <w:t xml:space="preserve">Options:</w:t>
            </w:r>
          </w:p>
          <w:p>
            <w:pPr>
              <w:pStyle w:val="Compact"/>
              <w:numPr>
                <w:ilvl w:val="0"/>
                <w:numId w:val="1014"/>
              </w:numPr>
            </w:pPr>
            <w:r>
              <w:t xml:space="preserve">Normal (0)</w:t>
            </w:r>
          </w:p>
          <w:p>
            <w:pPr>
              <w:pStyle w:val="Compact"/>
              <w:numPr>
                <w:ilvl w:val="0"/>
                <w:numId w:val="1014"/>
              </w:numPr>
            </w:pPr>
            <w:r>
              <w:t xml:space="preserve">Mild-moderate dysarthria: slurring but can be understood (1)</w:t>
            </w:r>
          </w:p>
          <w:p>
            <w:pPr>
              <w:pStyle w:val="Compact"/>
              <w:numPr>
                <w:ilvl w:val="0"/>
                <w:numId w:val="1014"/>
              </w:numPr>
            </w:pPr>
            <w:r>
              <w:t xml:space="preserve">Severe dysarthria: unintelligible slurring or out of proportion to dysphasia (2)</w:t>
            </w:r>
          </w:p>
          <w:p>
            <w:pPr>
              <w:pStyle w:val="Compact"/>
              <w:numPr>
                <w:ilvl w:val="0"/>
                <w:numId w:val="1014"/>
              </w:numPr>
            </w:pPr>
            <w:r>
              <w:t xml:space="preserve">Mute/anarthric (2)</w:t>
            </w:r>
          </w:p>
          <w:p>
            <w:pPr>
              <w:pStyle w:val="Compact"/>
              <w:numPr>
                <w:ilvl w:val="0"/>
                <w:numId w:val="1014"/>
              </w:numPr>
            </w:pPr>
            <w:r>
              <w:t xml:space="preserve">Intubated/unable to test (0)</w:t>
            </w:r>
          </w:p>
        </w:tc>
      </w:tr>
      <w:tr>
        <w:tc>
          <w:tcPr/>
          <w:p>
            <w:pPr>
              <w:pStyle w:val="FirstParagraph"/>
            </w:pPr>
            <w:r>
              <w:t xml:space="preserve">11: Extinction/inattention</w:t>
            </w:r>
          </w:p>
          <w:p>
            <w:pPr>
              <w:pStyle w:val="BodyText"/>
            </w:pPr>
          </w:p>
        </w:tc>
        <w:tc>
          <w:tcPr/>
          <w:p>
            <w:pPr>
              <w:pStyle w:val="Compact"/>
            </w:pPr>
            <w:r>
              <w:rPr>
                <w:b/>
                <w:bCs/>
              </w:rPr>
              <w:t xml:space="preserve">Options:</w:t>
            </w:r>
          </w:p>
          <w:p>
            <w:pPr>
              <w:pStyle w:val="Compact"/>
              <w:numPr>
                <w:ilvl w:val="0"/>
                <w:numId w:val="1015"/>
              </w:numPr>
            </w:pPr>
            <w:r>
              <w:t xml:space="preserve">No abnormality (0)</w:t>
            </w:r>
          </w:p>
          <w:p>
            <w:pPr>
              <w:pStyle w:val="Compact"/>
              <w:numPr>
                <w:ilvl w:val="0"/>
                <w:numId w:val="1015"/>
              </w:numPr>
            </w:pPr>
            <w:r>
              <w:t xml:space="preserve">Visual/tactile/auditory/spatial/personal inattention (1)</w:t>
            </w:r>
          </w:p>
          <w:p>
            <w:pPr>
              <w:pStyle w:val="Compact"/>
              <w:numPr>
                <w:ilvl w:val="0"/>
                <w:numId w:val="1015"/>
              </w:numPr>
            </w:pPr>
            <w:r>
              <w:t xml:space="preserve">Extinction to bilateral simultaneous stimulation (1)</w:t>
            </w:r>
          </w:p>
          <w:p>
            <w:pPr>
              <w:pStyle w:val="Compact"/>
              <w:numPr>
                <w:ilvl w:val="0"/>
                <w:numId w:val="1015"/>
              </w:numPr>
            </w:pPr>
            <w:r>
              <w:t xml:space="preserve">Profound hemi-inattention (ex: does not recognize own hand) (2)</w:t>
            </w:r>
          </w:p>
          <w:p>
            <w:pPr>
              <w:pStyle w:val="Compact"/>
              <w:numPr>
                <w:ilvl w:val="0"/>
                <w:numId w:val="1015"/>
              </w:numPr>
            </w:pPr>
            <w:r>
              <w:t xml:space="preserve">Extinction to &gt;1 modality (2)</w:t>
            </w:r>
          </w:p>
        </w:tc>
      </w:tr>
    </w:tbl>
    <w:bookmarkEnd w:id="20"/>
    <w:bookmarkStart w:id="21" w:name="formula"/>
    <w:p>
      <w:pPr>
        <w:pStyle w:val="Heading2"/>
      </w:pPr>
      <w:r>
        <w:t xml:space="preserve">FORMULA</w:t>
      </w:r>
    </w:p>
    <w:p>
      <w:pPr>
        <w:pStyle w:val="FirstParagraph"/>
      </w:pPr>
      <w:r>
        <w:t xml:space="preserve">Addition of the selected points, as above.</w:t>
      </w:r>
    </w:p>
    <w:bookmarkEnd w:id="21"/>
    <w:bookmarkStart w:id="29" w:name="facts-figures"/>
    <w:p>
      <w:pPr>
        <w:pStyle w:val="Heading2"/>
      </w:pPr>
      <w:r>
        <w:t xml:space="preserve">FACTS &amp; FIGURES</w:t>
      </w:r>
    </w:p>
    <w:p>
      <w:pPr>
        <w:pStyle w:val="FirstParagraph"/>
      </w:pPr>
      <w:r>
        <w:t xml:space="preserve"> </w:t>
      </w:r>
      <w:r>
        <w:rPr>
          <w:b/>
          <w:bCs/>
        </w:rPr>
        <w:t xml:space="preserve">Language/aphasia test</w:t>
      </w:r>
    </w:p>
    <w:p>
      <w:pPr>
        <w:pStyle w:val="BodyText"/>
      </w:pPr>
      <w:r>
        <w:drawing>
          <wp:inline>
            <wp:extent cx="5334000" cy="3947160"/>
            <wp:effectExtent b="0" l="0" r="0" t="0"/>
            <wp:docPr descr="" title="" id="23" name="Picture"/>
            <a:graphic>
              <a:graphicData uri="http://schemas.openxmlformats.org/drawingml/2006/picture">
                <pic:pic>
                  <pic:nvPicPr>
                    <pic:cNvPr descr="https://cdn-web-img.mdcalc.com/dysarthria-test.jpeg" id="24" name="Picture"/>
                    <pic:cNvPicPr>
                      <a:picLocks noChangeArrowheads="1" noChangeAspect="1"/>
                    </pic:cNvPicPr>
                  </pic:nvPicPr>
                  <pic:blipFill>
                    <a:blip r:embed="rId22"/>
                    <a:stretch>
                      <a:fillRect/>
                    </a:stretch>
                  </pic:blipFill>
                  <pic:spPr bwMode="auto">
                    <a:xfrm>
                      <a:off x="0" y="0"/>
                      <a:ext cx="5334000" cy="3947160"/>
                    </a:xfrm>
                    <a:prstGeom prst="rect">
                      <a:avLst/>
                    </a:prstGeom>
                    <a:noFill/>
                    <a:ln w="9525">
                      <a:noFill/>
                      <a:headEnd/>
                      <a:tailEnd/>
                    </a:ln>
                  </pic:spPr>
                </pic:pic>
              </a:graphicData>
            </a:graphic>
          </wp:inline>
        </w:drawing>
      </w:r>
    </w:p>
    <w:p>
      <w:pPr>
        <w:pStyle w:val="BodyText"/>
      </w:pPr>
      <w:r>
        <w:rPr>
          <w:b/>
          <w:bCs/>
        </w:rPr>
        <w:t xml:space="preserve">Dysarthria test</w:t>
      </w:r>
    </w:p>
    <w:p>
      <w:pPr>
        <w:pStyle w:val="BodyText"/>
      </w:pPr>
      <w:r>
        <w:drawing>
          <wp:inline>
            <wp:extent cx="3429000" cy="3581400"/>
            <wp:effectExtent b="0" l="0" r="0" t="0"/>
            <wp:docPr descr="" title="" id="26" name="Picture"/>
            <a:graphic>
              <a:graphicData uri="http://schemas.openxmlformats.org/drawingml/2006/picture">
                <pic:pic>
                  <pic:nvPicPr>
                    <pic:cNvPr descr="https://cdn-web-img.mdcalc.com/nihss-2.gif" id="27" name="Picture"/>
                    <pic:cNvPicPr>
                      <a:picLocks noChangeArrowheads="1" noChangeAspect="1"/>
                    </pic:cNvPicPr>
                  </pic:nvPicPr>
                  <pic:blipFill>
                    <a:blip r:embed="rId25"/>
                    <a:stretch>
                      <a:fillRect/>
                    </a:stretch>
                  </pic:blipFill>
                  <pic:spPr bwMode="auto">
                    <a:xfrm>
                      <a:off x="0" y="0"/>
                      <a:ext cx="3429000" cy="3581400"/>
                    </a:xfrm>
                    <a:prstGeom prst="rect">
                      <a:avLst/>
                    </a:prstGeom>
                    <a:noFill/>
                    <a:ln w="9525">
                      <a:noFill/>
                      <a:headEnd/>
                      <a:tailEnd/>
                    </a:ln>
                  </pic:spPr>
                </pic:pic>
              </a:graphicData>
            </a:graphic>
          </wp:inline>
        </w:drawing>
      </w:r>
    </w:p>
    <w:p>
      <w:pPr>
        <w:pStyle w:val="BodyText"/>
      </w:pPr>
      <w:r>
        <w:t xml:space="preserve">For more information see the </w:t>
      </w:r>
      <w:hyperlink r:id="rId28">
        <w:r>
          <w:rPr>
            <w:rStyle w:val="Hyperlink"/>
          </w:rPr>
          <w:t xml:space="preserve">NIH Stroke Scale Website</w:t>
        </w:r>
      </w:hyperlink>
      <w:r>
        <w:t xml:space="preserve">.</w:t>
      </w:r>
    </w:p>
    <w:bookmarkEnd w:id="29"/>
    <w:bookmarkStart w:id="38" w:name="evidence-appraisal"/>
    <w:p>
      <w:pPr>
        <w:pStyle w:val="Heading2"/>
      </w:pPr>
      <w:r>
        <w:t xml:space="preserve">EVIDENCE APPRAISAL</w:t>
      </w:r>
    </w:p>
    <w:p>
      <w:pPr>
        <w:pStyle w:val="Compact"/>
        <w:numPr>
          <w:ilvl w:val="0"/>
          <w:numId w:val="1016"/>
        </w:numPr>
      </w:pPr>
      <w:r>
        <w:t xml:space="preserve">The first iteration of the NIH stroke scale was derived by Brott et al in a pilot study of 10 patients who were evaluated within 3-weeks of having an ischemic stroke.  Authors applied the Toronto Stroke Scale, the Oxbury Initial Severity Scale and the Cincinnati Stroke Scale to these patients, analysed the results and then created a composite scale. This was intended for use in an NIH-sponsored trial of naloxone for stroke (</w:t>
      </w:r>
      <w:hyperlink r:id="rId30">
        <w:r>
          <w:rPr>
            <w:rStyle w:val="Hyperlink"/>
          </w:rPr>
          <w:t xml:space="preserve">Brott 1989</w:t>
        </w:r>
      </w:hyperlink>
      <w:r>
        <w:t xml:space="preserve">).</w:t>
      </w:r>
    </w:p>
    <w:p>
      <w:pPr>
        <w:pStyle w:val="Compact"/>
        <w:numPr>
          <w:ilvl w:val="0"/>
          <w:numId w:val="1016"/>
        </w:numPr>
      </w:pPr>
      <w:r>
        <w:t xml:space="preserve">Brott’s Cincinnati/Naloxone stroke scale was modified by Lyden and colleagues (1994) for use in the National Institute of Neurological Disorders and Stroke (NINDS) study on tissue plasminogen activator (tPA) in patients with ischemic stroke (</w:t>
      </w:r>
      <w:hyperlink r:id="rId31">
        <w:r>
          <w:rPr>
            <w:rStyle w:val="Hyperlink"/>
          </w:rPr>
          <w:t xml:space="preserve">NINDS 1995</w:t>
        </w:r>
      </w:hyperlink>
      <w:r>
        <w:t xml:space="preserve">).</w:t>
      </w:r>
    </w:p>
    <w:p>
      <w:pPr>
        <w:pStyle w:val="Compact"/>
        <w:numPr>
          <w:ilvl w:val="0"/>
          <w:numId w:val="1016"/>
        </w:numPr>
      </w:pPr>
      <w:r>
        <w:t xml:space="preserve">A retrospective review of 1281 subjects with ischemic stroke found that for every 1 point increase in the NIHSS decreased the likelihood of an excellent outcome by 24% at 7 days and 17% at 3 months (</w:t>
      </w:r>
      <w:hyperlink r:id="rId32">
        <w:r>
          <w:rPr>
            <w:rStyle w:val="Hyperlink"/>
          </w:rPr>
          <w:t xml:space="preserve">Adams 1999</w:t>
        </w:r>
      </w:hyperlink>
      <w:r>
        <w:t xml:space="preserve">).</w:t>
      </w:r>
    </w:p>
    <w:p>
      <w:pPr>
        <w:pStyle w:val="Compact"/>
        <w:numPr>
          <w:ilvl w:val="0"/>
          <w:numId w:val="1016"/>
        </w:numPr>
      </w:pPr>
      <w:r>
        <w:t xml:space="preserve">In a trial of 94 patients, authors found that  each 1 point increase in the NIHSS when performed within 24 hours of the stroke correlated with a decreased likelihood of the patient being discharged (</w:t>
      </w:r>
      <w:hyperlink r:id="rId33">
        <w:r>
          <w:rPr>
            <w:rStyle w:val="Hyperlink"/>
          </w:rPr>
          <w:t xml:space="preserve">Schlegel 2003</w:t>
        </w:r>
      </w:hyperlink>
      <w:r>
        <w:t xml:space="preserve">).</w:t>
      </w:r>
    </w:p>
    <w:p>
      <w:pPr>
        <w:pStyle w:val="Compact"/>
        <w:numPr>
          <w:ilvl w:val="0"/>
          <w:numId w:val="1016"/>
        </w:numPr>
      </w:pPr>
      <w:r>
        <w:t xml:space="preserve">A study of 893 patients found that their initial NIHSS score (performed within 72 hours of the ischemic event) was predictive of whether the patient would need to be placed in a nursing home or need to be sent to rehabilitation.  Patients with moderate (6-13 points) or severe (&gt;14 points) NIHSS scores were 3 times more likely to be placed in a nursing home after discharge and 8 more times likely to require rehabilitation therapy (</w:t>
      </w:r>
      <w:hyperlink r:id="rId34">
        <w:r>
          <w:rPr>
            <w:rStyle w:val="Hyperlink"/>
          </w:rPr>
          <w:t xml:space="preserve">Rundek 2000</w:t>
        </w:r>
      </w:hyperlink>
      <w:r>
        <w:t xml:space="preserve">).</w:t>
      </w:r>
    </w:p>
    <w:p>
      <w:pPr>
        <w:pStyle w:val="Compact"/>
        <w:numPr>
          <w:ilvl w:val="0"/>
          <w:numId w:val="1016"/>
        </w:numPr>
      </w:pPr>
      <w:r>
        <w:t xml:space="preserve">A study of 377 patients found that when performed 24-48 hours after an ischemic stroke, that the NIHSS was broadly predictive of group outcomes at 1-year, with 75% of patients who had a score of 4 or less being functionally independent (</w:t>
      </w:r>
      <w:hyperlink r:id="rId35">
        <w:r>
          <w:rPr>
            <w:rStyle w:val="Hyperlink"/>
          </w:rPr>
          <w:t xml:space="preserve">Appelros 2004</w:t>
        </w:r>
      </w:hyperlink>
      <w:r>
        <w:t xml:space="preserve">).</w:t>
      </w:r>
    </w:p>
    <w:p>
      <w:pPr>
        <w:pStyle w:val="Compact"/>
        <w:numPr>
          <w:ilvl w:val="1"/>
          <w:numId w:val="1017"/>
        </w:numPr>
      </w:pPr>
      <w:r>
        <w:t xml:space="preserve">Median score in this study was 6, with 33% of patients dying within the first year after their event.</w:t>
      </w:r>
    </w:p>
    <w:p>
      <w:pPr>
        <w:pStyle w:val="Compact"/>
        <w:numPr>
          <w:ilvl w:val="0"/>
          <w:numId w:val="1017"/>
        </w:numPr>
      </w:pPr>
      <w:r>
        <w:t xml:space="preserve">A prospective trial of 54 patients found that combining diffusion weighted MRI imaging with the NIHSS score was more predictive of clinical outcomes at 3 months (70%) than with using the score (43%) or imaging (54%) alone (</w:t>
      </w:r>
      <w:hyperlink r:id="rId36">
        <w:r>
          <w:rPr>
            <w:rStyle w:val="Hyperlink"/>
          </w:rPr>
          <w:t xml:space="preserve">Yoo 2010</w:t>
        </w:r>
      </w:hyperlink>
      <w:r>
        <w:t xml:space="preserve">).</w:t>
      </w:r>
    </w:p>
    <w:p>
      <w:pPr>
        <w:pStyle w:val="Compact"/>
        <w:numPr>
          <w:ilvl w:val="0"/>
          <w:numId w:val="1017"/>
        </w:numPr>
      </w:pPr>
      <w:r>
        <w:t xml:space="preserve">In an analysis of 312 subjects from the NINDS trials, authors found that an NIHSS of &gt;20 was associated with a 17% rate of intracranial hemorrhage with tPA vs. a 3% hemorrhage rate in patients with a score of &lt;10 (</w:t>
      </w:r>
      <w:hyperlink r:id="rId37">
        <w:r>
          <w:rPr>
            <w:rStyle w:val="Hyperlink"/>
          </w:rPr>
          <w:t xml:space="preserve">The NINDS t-PA Stroke Study Group 1997</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gif" /><Relationship Type="http://schemas.openxmlformats.org/officeDocument/2006/relationships/hyperlink" Id="rId28" Target="https://nihstrokescale.org/" TargetMode="External" /><Relationship Type="http://schemas.openxmlformats.org/officeDocument/2006/relationships/hyperlink" Id="rId32" Target="https://www.ncbi.nlm.nih.gov/pubmed/10408548" TargetMode="External" /><Relationship Type="http://schemas.openxmlformats.org/officeDocument/2006/relationships/hyperlink" Id="rId34" Target="https://www.ncbi.nlm.nih.gov/pubmed/11071497" TargetMode="External" /><Relationship Type="http://schemas.openxmlformats.org/officeDocument/2006/relationships/hyperlink" Id="rId33" Target="https://www.ncbi.nlm.nih.gov/pubmed/12511764" TargetMode="External" /><Relationship Type="http://schemas.openxmlformats.org/officeDocument/2006/relationships/hyperlink" Id="rId35" Target="https://www.ncbi.nlm.nih.gov/pubmed/14530634" TargetMode="External" /><Relationship Type="http://schemas.openxmlformats.org/officeDocument/2006/relationships/hyperlink" Id="rId36" Target="https://www.ncbi.nlm.nih.gov/pubmed/20595665" TargetMode="External" /><Relationship Type="http://schemas.openxmlformats.org/officeDocument/2006/relationships/hyperlink" Id="rId30" Target="https://www.ncbi.nlm.nih.gov/pubmed/2749846" TargetMode="External" /><Relationship Type="http://schemas.openxmlformats.org/officeDocument/2006/relationships/hyperlink" Id="rId37" Target="https://www.ncbi.nlm.nih.gov/pubmed/9368550" TargetMode="External" /><Relationship Type="http://schemas.openxmlformats.org/officeDocument/2006/relationships/hyperlink" Id="rId31" Target="https://www.nejm.org/doi/full/10.1056/NEJM199512143332401" TargetMode="External" /></Relationships>
</file>

<file path=word/_rels/footnotes.xml.rels><?xml version="1.0" encoding="UTF-8"?><Relationships xmlns="http://schemas.openxmlformats.org/package/2006/relationships"><Relationship Type="http://schemas.openxmlformats.org/officeDocument/2006/relationships/hyperlink" Id="rId28" Target="https://nihstrokescale.org/" TargetMode="External" /><Relationship Type="http://schemas.openxmlformats.org/officeDocument/2006/relationships/hyperlink" Id="rId32" Target="https://www.ncbi.nlm.nih.gov/pubmed/10408548" TargetMode="External" /><Relationship Type="http://schemas.openxmlformats.org/officeDocument/2006/relationships/hyperlink" Id="rId34" Target="https://www.ncbi.nlm.nih.gov/pubmed/11071497" TargetMode="External" /><Relationship Type="http://schemas.openxmlformats.org/officeDocument/2006/relationships/hyperlink" Id="rId33" Target="https://www.ncbi.nlm.nih.gov/pubmed/12511764" TargetMode="External" /><Relationship Type="http://schemas.openxmlformats.org/officeDocument/2006/relationships/hyperlink" Id="rId35" Target="https://www.ncbi.nlm.nih.gov/pubmed/14530634" TargetMode="External" /><Relationship Type="http://schemas.openxmlformats.org/officeDocument/2006/relationships/hyperlink" Id="rId36" Target="https://www.ncbi.nlm.nih.gov/pubmed/20595665" TargetMode="External" /><Relationship Type="http://schemas.openxmlformats.org/officeDocument/2006/relationships/hyperlink" Id="rId30" Target="https://www.ncbi.nlm.nih.gov/pubmed/2749846" TargetMode="External" /><Relationship Type="http://schemas.openxmlformats.org/officeDocument/2006/relationships/hyperlink" Id="rId37" Target="https://www.ncbi.nlm.nih.gov/pubmed/9368550" TargetMode="External" /><Relationship Type="http://schemas.openxmlformats.org/officeDocument/2006/relationships/hyperlink" Id="rId31" Target="https://www.nejm.org/doi/full/10.1056/NEJM199512143332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2024-07-22T20:04:41Z</dcterms:created>
  <dcterms:modified xsi:type="dcterms:W3CDTF">2024-07-22T20:04:41Z</dcterms:modified>
</cp:coreProperties>
</file>

<file path=docProps/custom.xml><?xml version="1.0" encoding="utf-8"?>
<Properties xmlns="http://schemas.openxmlformats.org/officeDocument/2006/custom-properties" xmlns:vt="http://schemas.openxmlformats.org/officeDocument/2006/docPropsVTypes"/>
</file>