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erc-rule-for-pulmonary-embolism"/>
    <w:p>
      <w:pPr>
        <w:pStyle w:val="Heading1"/>
      </w:pPr>
      <w:r>
        <w:t xml:space="preserve">PERC Rule for Pulmonary Embolism</w:t>
      </w:r>
    </w:p>
    <w:bookmarkStart w:id="20" w:name="inputs"/>
    <w:p>
      <w:pPr>
        <w:pStyle w:val="Heading2"/>
      </w:pPr>
      <w:r>
        <w:t xml:space="preserve">INPUTS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Age ≥50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Yes (1)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HR ≥100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Yes (1)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O₂ sat on room air &lt;95%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Yes (1)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Unilateral leg swelling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Yes (1)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Hemoptysis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Yes (1)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Recent surgery or trauma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Surgery or trauma ≤4 weeks ago requiring treatment with general anesthesia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Yes (1)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Prior PE or DVT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Yes (1)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Hormone use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Oral contraceptives, hormone replacement or estrogenic hormones use in males or female patients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Yes (1)</w:t>
            </w:r>
          </w:p>
        </w:tc>
      </w:tr>
    </w:tbl>
    <w:bookmarkEnd w:id="20"/>
    <w:bookmarkStart w:id="21" w:name="formula"/>
    <w:p>
      <w:pPr>
        <w:pStyle w:val="Heading2"/>
      </w:pPr>
      <w:r>
        <w:t xml:space="preserve">FORMULA</w:t>
      </w:r>
    </w:p>
    <w:p>
      <w:pPr>
        <w:pStyle w:val="FirstParagraph"/>
      </w:pPr>
      <w:r>
        <w:t xml:space="preserve">If any of the following is/are present, PE cannot be ruled out:</w:t>
      </w:r>
    </w:p>
    <w:p>
      <w:pPr>
        <w:pStyle w:val="Compact"/>
        <w:numPr>
          <w:ilvl w:val="0"/>
          <w:numId w:val="1009"/>
        </w:numPr>
      </w:pPr>
      <w:r>
        <w:t xml:space="preserve">Age ≥50.</w:t>
      </w:r>
    </w:p>
    <w:p>
      <w:pPr>
        <w:pStyle w:val="Compact"/>
        <w:numPr>
          <w:ilvl w:val="0"/>
          <w:numId w:val="1009"/>
        </w:numPr>
      </w:pPr>
      <w:r>
        <w:t xml:space="preserve">HR ≥100.</w:t>
      </w:r>
    </w:p>
    <w:p>
      <w:pPr>
        <w:pStyle w:val="Compact"/>
        <w:numPr>
          <w:ilvl w:val="0"/>
          <w:numId w:val="1009"/>
        </w:numPr>
      </w:pPr>
      <w:r>
        <w:t xml:space="preserve">O₂ sat on room air &lt;95%.</w:t>
      </w:r>
    </w:p>
    <w:p>
      <w:pPr>
        <w:pStyle w:val="Compact"/>
        <w:numPr>
          <w:ilvl w:val="0"/>
          <w:numId w:val="1009"/>
        </w:numPr>
      </w:pPr>
      <w:r>
        <w:t xml:space="preserve">Unilateral leg swelling.</w:t>
      </w:r>
    </w:p>
    <w:p>
      <w:pPr>
        <w:pStyle w:val="Compact"/>
        <w:numPr>
          <w:ilvl w:val="0"/>
          <w:numId w:val="1009"/>
        </w:numPr>
      </w:pPr>
      <w:r>
        <w:t xml:space="preserve">Hemoptysis.</w:t>
      </w:r>
    </w:p>
    <w:p>
      <w:pPr>
        <w:pStyle w:val="Compact"/>
        <w:numPr>
          <w:ilvl w:val="0"/>
          <w:numId w:val="1009"/>
        </w:numPr>
      </w:pPr>
      <w:r>
        <w:t xml:space="preserve">Recent trauma or surgery.</w:t>
      </w:r>
    </w:p>
    <w:p>
      <w:pPr>
        <w:pStyle w:val="Compact"/>
        <w:numPr>
          <w:ilvl w:val="0"/>
          <w:numId w:val="1009"/>
        </w:numPr>
      </w:pPr>
      <w:r>
        <w:t xml:space="preserve">Prior PE or DVT.</w:t>
      </w:r>
    </w:p>
    <w:p>
      <w:pPr>
        <w:pStyle w:val="Compact"/>
        <w:numPr>
          <w:ilvl w:val="0"/>
          <w:numId w:val="1009"/>
        </w:numPr>
      </w:pPr>
      <w:r>
        <w:t xml:space="preserve">Hormone use (oral contraceptives, hormone replacement or estrogenic hormones use in males or female patients).</w:t>
      </w:r>
    </w:p>
    <w:bookmarkEnd w:id="21"/>
    <w:bookmarkStart w:id="22" w:name="facts-figures"/>
    <w:p>
      <w:pPr>
        <w:pStyle w:val="Heading2"/>
      </w:pPr>
      <w:r>
        <w:t xml:space="preserve">FACTS &amp; FIGURES</w:t>
      </w:r>
    </w:p>
    <w:p>
      <w:pPr>
        <w:pStyle w:val="FirstParagraph"/>
      </w:pPr>
      <w:r>
        <w:t xml:space="preserve">If any criteria are positive, the PERC rule is not satisfied and cannot be used to rule out PE in this patient.</w:t>
      </w:r>
    </w:p>
    <w:bookmarkEnd w:id="22"/>
    <w:bookmarkStart w:id="25" w:name="evidence-appraisal"/>
    <w:p>
      <w:pPr>
        <w:pStyle w:val="Heading2"/>
      </w:pPr>
      <w:r>
        <w:t xml:space="preserve">EVIDENCE APPRAISAL</w:t>
      </w:r>
    </w:p>
    <w:p>
      <w:pPr>
        <w:pStyle w:val="FirstParagraph"/>
      </w:pP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original article from 2004</w:t>
        </w:r>
      </w:hyperlink>
      <w:r>
        <w:t xml:space="preserve"> </w:t>
      </w:r>
      <w:r>
        <w:t xml:space="preserve">was a prospective study with a derivation section and a validation section.</w:t>
      </w:r>
    </w:p>
    <w:p>
      <w:pPr>
        <w:pStyle w:val="Compact"/>
        <w:numPr>
          <w:ilvl w:val="0"/>
          <w:numId w:val="1010"/>
        </w:numPr>
      </w:pPr>
      <w:r>
        <w:t xml:space="preserve">3148 patients from 10 sites were included in the derivation.</w:t>
      </w:r>
    </w:p>
    <w:p>
      <w:pPr>
        <w:pStyle w:val="Compact"/>
        <w:numPr>
          <w:ilvl w:val="0"/>
          <w:numId w:val="1010"/>
        </w:numPr>
      </w:pPr>
      <w:r>
        <w:t xml:space="preserve">21 potential variables were included for analysis, with the 8 final variables selected from these.</w:t>
      </w:r>
    </w:p>
    <w:p>
      <w:pPr>
        <w:pStyle w:val="Compact"/>
        <w:numPr>
          <w:ilvl w:val="0"/>
          <w:numId w:val="1010"/>
        </w:numPr>
      </w:pPr>
      <w:r>
        <w:t xml:space="preserve">1427 low-risk and 382 very low-risk patients from 2 sites were included in the validation section.</w:t>
      </w:r>
    </w:p>
    <w:p>
      <w:pPr>
        <w:pStyle w:val="Compact"/>
        <w:numPr>
          <w:ilvl w:val="0"/>
          <w:numId w:val="1010"/>
        </w:numPr>
      </w:pPr>
      <w:r>
        <w:t xml:space="preserve">In low-risk patients there was a sensitivity of 96% and specificity of 27%.</w:t>
      </w:r>
    </w:p>
    <w:p>
      <w:pPr>
        <w:pStyle w:val="Compact"/>
        <w:numPr>
          <w:ilvl w:val="0"/>
          <w:numId w:val="1010"/>
        </w:numPr>
      </w:pPr>
      <w:r>
        <w:t xml:space="preserve">In very low-risk patients there was a sensitivity of 100% and specificity of 15%.</w:t>
      </w:r>
    </w:p>
    <w:p>
      <w:pPr>
        <w:pStyle w:val="Compact"/>
        <w:numPr>
          <w:ilvl w:val="0"/>
          <w:numId w:val="1010"/>
        </w:numPr>
      </w:pPr>
      <w:r>
        <w:t xml:space="preserve">The false negative rate at 90 days in low-risk patients was 1.4% which is below the 1.8% testing threshold.</w:t>
      </w:r>
    </w:p>
    <w:p>
      <w:pPr>
        <w:pStyle w:val="FirstParagraph"/>
      </w:pPr>
      <w:hyperlink r:id="rId24">
        <w:r>
          <w:rPr>
            <w:rStyle w:val="Hyperlink"/>
          </w:rPr>
          <w:t xml:space="preserve">A second multicenter validation</w:t>
        </w:r>
      </w:hyperlink>
      <w:r>
        <w:t xml:space="preserve"> </w:t>
      </w:r>
      <w:r>
        <w:t xml:space="preserve">was done in 2008. This expanded upon the initial validation study and defined low pretest probability as &lt;15%</w:t>
      </w:r>
    </w:p>
    <w:p>
      <w:pPr>
        <w:pStyle w:val="Compact"/>
        <w:numPr>
          <w:ilvl w:val="0"/>
          <w:numId w:val="1011"/>
        </w:numPr>
      </w:pPr>
      <w:r>
        <w:t xml:space="preserve">8138 patients from 13 sites were included in the study. Some of these sites were included in the initial paper.</w:t>
      </w:r>
    </w:p>
    <w:p>
      <w:pPr>
        <w:pStyle w:val="Compact"/>
        <w:numPr>
          <w:ilvl w:val="0"/>
          <w:numId w:val="1011"/>
        </w:numPr>
      </w:pPr>
      <w:r>
        <w:t xml:space="preserve">Clinical gestalt for a pretest probability of &lt;15%, 15-40% or &gt;40% was collected from the providers.</w:t>
      </w:r>
    </w:p>
    <w:p>
      <w:pPr>
        <w:pStyle w:val="Compact"/>
        <w:numPr>
          <w:ilvl w:val="0"/>
          <w:numId w:val="1011"/>
        </w:numPr>
      </w:pPr>
      <w:r>
        <w:t xml:space="preserve">20% of the cohort was deemed low risk (&lt;15%)</w:t>
      </w:r>
    </w:p>
    <w:p>
      <w:pPr>
        <w:pStyle w:val="Compact"/>
        <w:numPr>
          <w:ilvl w:val="0"/>
          <w:numId w:val="1011"/>
        </w:numPr>
      </w:pPr>
      <w:r>
        <w:t xml:space="preserve">For patients who were PERC negative and pre-test probability was &lt;15% the false negative rate at 45 days was 1.0% with a sensitivity of 97.4% and specificity of 21.9%.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ncbi.nlm.nih.gov/pubmed/15304025" TargetMode="External" /><Relationship Type="http://schemas.openxmlformats.org/officeDocument/2006/relationships/hyperlink" Id="rId24" Target="https://www.ncbi.nlm.nih.gov/pubmed/183186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ncbi.nlm.nih.gov/pubmed/15304025" TargetMode="External" /><Relationship Type="http://schemas.openxmlformats.org/officeDocument/2006/relationships/hyperlink" Id="rId24" Target="https://www.ncbi.nlm.nih.gov/pubmed/183186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2024-07-22T20:04:27Z</dcterms:created>
  <dcterms:modified xsi:type="dcterms:W3CDTF">2024-07-22T20:04:27Z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