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d22867563cac1a0e1a66c0ddf217e0fc65d90aa"/>
    <w:p>
      <w:pPr>
        <w:pStyle w:val="Heading1"/>
      </w:pPr>
      <w:r>
        <w:t xml:space="preserve">PSI/PORT Score: Pneumonia Severity Index for CAP</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Age</w:t>
            </w:r>
          </w:p>
          <w:p>
            <w:pPr>
              <w:pStyle w:val="BodyText"/>
            </w:pPr>
          </w:p>
        </w:tc>
        <w:tc>
          <w:tcPr/>
          <w:p>
            <w:pPr>
              <w:pStyle w:val="Compact"/>
            </w:pPr>
            <w:r>
              <w:rPr>
                <w:b/>
                <w:bCs/>
              </w:rPr>
              <w:t xml:space="preserve">Options:</w:t>
            </w:r>
          </w:p>
        </w:tc>
      </w:tr>
      <w:tr>
        <w:tc>
          <w:tcPr/>
          <w:p>
            <w:pPr>
              <w:pStyle w:val="FirstParagraph"/>
            </w:pPr>
            <w:r>
              <w:t xml:space="preserve">Sex</w:t>
            </w:r>
          </w:p>
          <w:p>
            <w:pPr>
              <w:pStyle w:val="BodyText"/>
            </w:pPr>
          </w:p>
        </w:tc>
        <w:tc>
          <w:tcPr/>
          <w:p>
            <w:pPr>
              <w:pStyle w:val="Compact"/>
            </w:pPr>
            <w:r>
              <w:rPr>
                <w:b/>
                <w:bCs/>
              </w:rPr>
              <w:t xml:space="preserve">Options:</w:t>
            </w:r>
          </w:p>
          <w:p>
            <w:pPr>
              <w:pStyle w:val="Compact"/>
              <w:numPr>
                <w:ilvl w:val="0"/>
                <w:numId w:val="1001"/>
              </w:numPr>
            </w:pPr>
            <w:r>
              <w:t xml:space="preserve">Female (-10)</w:t>
            </w:r>
          </w:p>
          <w:p>
            <w:pPr>
              <w:pStyle w:val="Compact"/>
              <w:numPr>
                <w:ilvl w:val="0"/>
                <w:numId w:val="1001"/>
              </w:numPr>
            </w:pPr>
            <w:r>
              <w:t xml:space="preserve">Male (0)</w:t>
            </w:r>
          </w:p>
        </w:tc>
      </w:tr>
      <w:tr>
        <w:tc>
          <w:tcPr/>
          <w:p>
            <w:pPr>
              <w:pStyle w:val="FirstParagraph"/>
            </w:pPr>
            <w:r>
              <w:t xml:space="preserve">Nursing home resident</w:t>
            </w:r>
          </w:p>
          <w:p>
            <w:pPr>
              <w:pStyle w:val="BodyText"/>
            </w:pPr>
          </w:p>
        </w:tc>
        <w:tc>
          <w:tcPr/>
          <w:p>
            <w:pPr>
              <w:pStyle w:val="Compact"/>
            </w:pPr>
            <w:r>
              <w:rPr>
                <w:b/>
                <w:bCs/>
              </w:rPr>
              <w:t xml:space="preserve">Options:</w:t>
            </w:r>
          </w:p>
          <w:p>
            <w:pPr>
              <w:pStyle w:val="Compact"/>
              <w:numPr>
                <w:ilvl w:val="0"/>
                <w:numId w:val="1002"/>
              </w:numPr>
            </w:pPr>
            <w:r>
              <w:t xml:space="preserve">No (0)</w:t>
            </w:r>
          </w:p>
          <w:p>
            <w:pPr>
              <w:pStyle w:val="Compact"/>
              <w:numPr>
                <w:ilvl w:val="0"/>
                <w:numId w:val="1002"/>
              </w:numPr>
            </w:pPr>
            <w:r>
              <w:t xml:space="preserve">Yes (10)</w:t>
            </w:r>
          </w:p>
        </w:tc>
      </w:tr>
      <w:tr>
        <w:tc>
          <w:tcPr/>
          <w:p>
            <w:pPr>
              <w:pStyle w:val="FirstParagraph"/>
            </w:pPr>
            <w:r>
              <w:t xml:space="preserve">Neoplastic disease</w:t>
            </w:r>
          </w:p>
          <w:p>
            <w:pPr>
              <w:pStyle w:val="BodyText"/>
            </w:pPr>
          </w:p>
        </w:tc>
        <w:tc>
          <w:tcPr/>
          <w:p>
            <w:pPr>
              <w:pStyle w:val="Compact"/>
            </w:pPr>
            <w:r>
              <w:rPr>
                <w:b/>
                <w:bCs/>
              </w:rPr>
              <w:t xml:space="preserve">Options:</w:t>
            </w:r>
          </w:p>
          <w:p>
            <w:pPr>
              <w:pStyle w:val="Compact"/>
              <w:numPr>
                <w:ilvl w:val="0"/>
                <w:numId w:val="1003"/>
              </w:numPr>
            </w:pPr>
            <w:r>
              <w:t xml:space="preserve">No (0)</w:t>
            </w:r>
          </w:p>
          <w:p>
            <w:pPr>
              <w:pStyle w:val="Compact"/>
              <w:numPr>
                <w:ilvl w:val="0"/>
                <w:numId w:val="1003"/>
              </w:numPr>
            </w:pPr>
            <w:r>
              <w:t xml:space="preserve">Yes (30)</w:t>
            </w:r>
          </w:p>
        </w:tc>
      </w:tr>
      <w:tr>
        <w:tc>
          <w:tcPr/>
          <w:p>
            <w:pPr>
              <w:pStyle w:val="FirstParagraph"/>
            </w:pPr>
            <w:r>
              <w:t xml:space="preserve">Liver disease history</w:t>
            </w:r>
          </w:p>
          <w:p>
            <w:pPr>
              <w:pStyle w:val="BodyText"/>
            </w:pPr>
          </w:p>
        </w:tc>
        <w:tc>
          <w:tcPr/>
          <w:p>
            <w:pPr>
              <w:pStyle w:val="Compact"/>
            </w:pPr>
            <w:r>
              <w:rPr>
                <w:b/>
                <w:bCs/>
              </w:rPr>
              <w:t xml:space="preserve">Options:</w:t>
            </w:r>
          </w:p>
          <w:p>
            <w:pPr>
              <w:pStyle w:val="Compact"/>
              <w:numPr>
                <w:ilvl w:val="0"/>
                <w:numId w:val="1004"/>
              </w:numPr>
            </w:pPr>
            <w:r>
              <w:t xml:space="preserve">No (0)</w:t>
            </w:r>
          </w:p>
          <w:p>
            <w:pPr>
              <w:pStyle w:val="Compact"/>
              <w:numPr>
                <w:ilvl w:val="0"/>
                <w:numId w:val="1004"/>
              </w:numPr>
            </w:pPr>
            <w:r>
              <w:t xml:space="preserve">Yes (20)</w:t>
            </w:r>
          </w:p>
        </w:tc>
      </w:tr>
      <w:tr>
        <w:tc>
          <w:tcPr/>
          <w:p>
            <w:pPr>
              <w:pStyle w:val="FirstParagraph"/>
            </w:pPr>
            <w:r>
              <w:t xml:space="preserve">CHF history</w:t>
            </w:r>
          </w:p>
          <w:p>
            <w:pPr>
              <w:pStyle w:val="BodyText"/>
            </w:pPr>
          </w:p>
        </w:tc>
        <w:tc>
          <w:tcPr/>
          <w:p>
            <w:pPr>
              <w:pStyle w:val="Compact"/>
            </w:pPr>
            <w:r>
              <w:rPr>
                <w:b/>
                <w:bCs/>
              </w:rPr>
              <w:t xml:space="preserve">Options:</w:t>
            </w:r>
          </w:p>
          <w:p>
            <w:pPr>
              <w:pStyle w:val="Compact"/>
              <w:numPr>
                <w:ilvl w:val="0"/>
                <w:numId w:val="1005"/>
              </w:numPr>
            </w:pPr>
            <w:r>
              <w:t xml:space="preserve">No (0)</w:t>
            </w:r>
          </w:p>
          <w:p>
            <w:pPr>
              <w:pStyle w:val="Compact"/>
              <w:numPr>
                <w:ilvl w:val="0"/>
                <w:numId w:val="1005"/>
              </w:numPr>
            </w:pPr>
            <w:r>
              <w:t xml:space="preserve">Yes (10)</w:t>
            </w:r>
          </w:p>
        </w:tc>
      </w:tr>
      <w:tr>
        <w:tc>
          <w:tcPr/>
          <w:p>
            <w:pPr>
              <w:pStyle w:val="FirstParagraph"/>
            </w:pPr>
            <w:r>
              <w:t xml:space="preserve">Cerebrovascular disease history</w:t>
            </w:r>
          </w:p>
          <w:p>
            <w:pPr>
              <w:pStyle w:val="BodyText"/>
            </w:pPr>
          </w:p>
        </w:tc>
        <w:tc>
          <w:tcPr/>
          <w:p>
            <w:pPr>
              <w:pStyle w:val="Compact"/>
            </w:pPr>
            <w:r>
              <w:rPr>
                <w:b/>
                <w:bCs/>
              </w:rPr>
              <w:t xml:space="preserve">Options:</w:t>
            </w:r>
          </w:p>
          <w:p>
            <w:pPr>
              <w:pStyle w:val="Compact"/>
              <w:numPr>
                <w:ilvl w:val="0"/>
                <w:numId w:val="1006"/>
              </w:numPr>
            </w:pPr>
            <w:r>
              <w:t xml:space="preserve">No (0)</w:t>
            </w:r>
          </w:p>
          <w:p>
            <w:pPr>
              <w:pStyle w:val="Compact"/>
              <w:numPr>
                <w:ilvl w:val="0"/>
                <w:numId w:val="1006"/>
              </w:numPr>
            </w:pPr>
            <w:r>
              <w:t xml:space="preserve">Yes (10)</w:t>
            </w:r>
          </w:p>
        </w:tc>
      </w:tr>
      <w:tr>
        <w:tc>
          <w:tcPr/>
          <w:p>
            <w:pPr>
              <w:pStyle w:val="FirstParagraph"/>
            </w:pPr>
            <w:r>
              <w:t xml:space="preserve">Renal disease history</w:t>
            </w:r>
          </w:p>
          <w:p>
            <w:pPr>
              <w:pStyle w:val="BodyText"/>
            </w:pPr>
          </w:p>
        </w:tc>
        <w:tc>
          <w:tcPr/>
          <w:p>
            <w:pPr>
              <w:pStyle w:val="Compact"/>
            </w:pPr>
            <w:r>
              <w:rPr>
                <w:b/>
                <w:bCs/>
              </w:rPr>
              <w:t xml:space="preserve">Options:</w:t>
            </w:r>
          </w:p>
          <w:p>
            <w:pPr>
              <w:pStyle w:val="Compact"/>
              <w:numPr>
                <w:ilvl w:val="0"/>
                <w:numId w:val="1007"/>
              </w:numPr>
            </w:pPr>
            <w:r>
              <w:t xml:space="preserve">No (0)</w:t>
            </w:r>
          </w:p>
          <w:p>
            <w:pPr>
              <w:pStyle w:val="Compact"/>
              <w:numPr>
                <w:ilvl w:val="0"/>
                <w:numId w:val="1007"/>
              </w:numPr>
            </w:pPr>
            <w:r>
              <w:t xml:space="preserve">Yes (10)</w:t>
            </w:r>
          </w:p>
        </w:tc>
      </w:tr>
      <w:tr>
        <w:tc>
          <w:tcPr/>
          <w:p>
            <w:pPr>
              <w:pStyle w:val="FirstParagraph"/>
            </w:pPr>
            <w:r>
              <w:t xml:space="preserve">Altered mental status</w:t>
            </w:r>
          </w:p>
          <w:p>
            <w:pPr>
              <w:pStyle w:val="BodyText"/>
            </w:pPr>
          </w:p>
        </w:tc>
        <w:tc>
          <w:tcPr/>
          <w:p>
            <w:pPr>
              <w:pStyle w:val="Compact"/>
            </w:pPr>
            <w:r>
              <w:rPr>
                <w:b/>
                <w:bCs/>
              </w:rPr>
              <w:t xml:space="preserve">Options:</w:t>
            </w:r>
          </w:p>
          <w:p>
            <w:pPr>
              <w:pStyle w:val="Compact"/>
              <w:numPr>
                <w:ilvl w:val="0"/>
                <w:numId w:val="1008"/>
              </w:numPr>
            </w:pPr>
            <w:r>
              <w:t xml:space="preserve">No (0)</w:t>
            </w:r>
          </w:p>
          <w:p>
            <w:pPr>
              <w:pStyle w:val="Compact"/>
              <w:numPr>
                <w:ilvl w:val="0"/>
                <w:numId w:val="1008"/>
              </w:numPr>
            </w:pPr>
            <w:r>
              <w:t xml:space="preserve">Yes (20)</w:t>
            </w:r>
          </w:p>
        </w:tc>
      </w:tr>
      <w:tr>
        <w:tc>
          <w:tcPr/>
          <w:p>
            <w:pPr>
              <w:pStyle w:val="FirstParagraph"/>
            </w:pPr>
            <w:r>
              <w:t xml:space="preserve">Respiratory rate ≥30 breaths/min</w:t>
            </w:r>
          </w:p>
          <w:p>
            <w:pPr>
              <w:pStyle w:val="BodyText"/>
            </w:pPr>
          </w:p>
        </w:tc>
        <w:tc>
          <w:tcPr/>
          <w:p>
            <w:pPr>
              <w:pStyle w:val="Compact"/>
            </w:pPr>
            <w:r>
              <w:rPr>
                <w:b/>
                <w:bCs/>
              </w:rPr>
              <w:t xml:space="preserve">Options:</w:t>
            </w:r>
          </w:p>
          <w:p>
            <w:pPr>
              <w:pStyle w:val="Compact"/>
              <w:numPr>
                <w:ilvl w:val="0"/>
                <w:numId w:val="1009"/>
              </w:numPr>
            </w:pPr>
            <w:r>
              <w:t xml:space="preserve">No (0)</w:t>
            </w:r>
          </w:p>
          <w:p>
            <w:pPr>
              <w:pStyle w:val="Compact"/>
              <w:numPr>
                <w:ilvl w:val="0"/>
                <w:numId w:val="1009"/>
              </w:numPr>
            </w:pPr>
            <w:r>
              <w:t xml:space="preserve">Yes (20)</w:t>
            </w:r>
          </w:p>
        </w:tc>
      </w:tr>
      <w:tr>
        <w:tc>
          <w:tcPr/>
          <w:p>
            <w:pPr>
              <w:pStyle w:val="FirstParagraph"/>
            </w:pPr>
            <w:r>
              <w:t xml:space="preserve">Systolic blood pressure &lt;90 mmHg</w:t>
            </w:r>
          </w:p>
          <w:p>
            <w:pPr>
              <w:pStyle w:val="BodyText"/>
            </w:pPr>
          </w:p>
        </w:tc>
        <w:tc>
          <w:tcPr/>
          <w:p>
            <w:pPr>
              <w:pStyle w:val="Compact"/>
            </w:pPr>
            <w:r>
              <w:rPr>
                <w:b/>
                <w:bCs/>
              </w:rPr>
              <w:t xml:space="preserve">Options:</w:t>
            </w:r>
          </w:p>
          <w:p>
            <w:pPr>
              <w:pStyle w:val="Compact"/>
              <w:numPr>
                <w:ilvl w:val="0"/>
                <w:numId w:val="1010"/>
              </w:numPr>
            </w:pPr>
            <w:r>
              <w:t xml:space="preserve">No (0)</w:t>
            </w:r>
          </w:p>
          <w:p>
            <w:pPr>
              <w:pStyle w:val="Compact"/>
              <w:numPr>
                <w:ilvl w:val="0"/>
                <w:numId w:val="1010"/>
              </w:numPr>
            </w:pPr>
            <w:r>
              <w:t xml:space="preserve">Yes (20)</w:t>
            </w:r>
          </w:p>
        </w:tc>
      </w:tr>
      <w:tr>
        <w:tc>
          <w:tcPr/>
          <w:p>
            <w:pPr>
              <w:pStyle w:val="FirstParagraph"/>
            </w:pPr>
            <w:r>
              <w:t xml:space="preserve">Temperature &lt;35°C (95°F) or &gt;39.9°C (103.8°F)</w:t>
            </w:r>
          </w:p>
          <w:p>
            <w:pPr>
              <w:pStyle w:val="BodyText"/>
            </w:pPr>
          </w:p>
        </w:tc>
        <w:tc>
          <w:tcPr/>
          <w:p>
            <w:pPr>
              <w:pStyle w:val="Compact"/>
            </w:pPr>
            <w:r>
              <w:rPr>
                <w:b/>
                <w:bCs/>
              </w:rPr>
              <w:t xml:space="preserve">Options:</w:t>
            </w:r>
          </w:p>
          <w:p>
            <w:pPr>
              <w:pStyle w:val="Compact"/>
              <w:numPr>
                <w:ilvl w:val="0"/>
                <w:numId w:val="1011"/>
              </w:numPr>
            </w:pPr>
            <w:r>
              <w:t xml:space="preserve">No (0)</w:t>
            </w:r>
          </w:p>
          <w:p>
            <w:pPr>
              <w:pStyle w:val="Compact"/>
              <w:numPr>
                <w:ilvl w:val="0"/>
                <w:numId w:val="1011"/>
              </w:numPr>
            </w:pPr>
            <w:r>
              <w:t xml:space="preserve">Yes (15)</w:t>
            </w:r>
          </w:p>
        </w:tc>
      </w:tr>
      <w:tr>
        <w:tc>
          <w:tcPr/>
          <w:p>
            <w:pPr>
              <w:pStyle w:val="FirstParagraph"/>
            </w:pPr>
            <w:r>
              <w:t xml:space="preserve">Pulse ≥125 beats/min</w:t>
            </w:r>
          </w:p>
          <w:p>
            <w:pPr>
              <w:pStyle w:val="BodyText"/>
            </w:pPr>
          </w:p>
        </w:tc>
        <w:tc>
          <w:tcPr/>
          <w:p>
            <w:pPr>
              <w:pStyle w:val="Compact"/>
            </w:pPr>
            <w:r>
              <w:rPr>
                <w:b/>
                <w:bCs/>
              </w:rPr>
              <w:t xml:space="preserve">Options:</w:t>
            </w:r>
          </w:p>
          <w:p>
            <w:pPr>
              <w:pStyle w:val="Compact"/>
              <w:numPr>
                <w:ilvl w:val="0"/>
                <w:numId w:val="1012"/>
              </w:numPr>
            </w:pPr>
            <w:r>
              <w:t xml:space="preserve">No (0)</w:t>
            </w:r>
          </w:p>
          <w:p>
            <w:pPr>
              <w:pStyle w:val="Compact"/>
              <w:numPr>
                <w:ilvl w:val="0"/>
                <w:numId w:val="1012"/>
              </w:numPr>
            </w:pPr>
            <w:r>
              <w:t xml:space="preserve">Yes (10)</w:t>
            </w:r>
          </w:p>
        </w:tc>
      </w:tr>
      <w:tr>
        <w:tc>
          <w:tcPr/>
          <w:p>
            <w:pPr>
              <w:pStyle w:val="FirstParagraph"/>
            </w:pPr>
            <w:r>
              <w:t xml:space="preserve">pH &lt;7.35</w:t>
            </w:r>
          </w:p>
          <w:p>
            <w:pPr>
              <w:pStyle w:val="BodyText"/>
            </w:pPr>
          </w:p>
        </w:tc>
        <w:tc>
          <w:tcPr/>
          <w:p>
            <w:pPr>
              <w:pStyle w:val="Compact"/>
            </w:pPr>
            <w:r>
              <w:rPr>
                <w:b/>
                <w:bCs/>
              </w:rPr>
              <w:t xml:space="preserve">Options:</w:t>
            </w:r>
          </w:p>
          <w:p>
            <w:pPr>
              <w:pStyle w:val="Compact"/>
              <w:numPr>
                <w:ilvl w:val="0"/>
                <w:numId w:val="1013"/>
              </w:numPr>
            </w:pPr>
            <w:r>
              <w:t xml:space="preserve">No (0)</w:t>
            </w:r>
          </w:p>
          <w:p>
            <w:pPr>
              <w:pStyle w:val="Compact"/>
              <w:numPr>
                <w:ilvl w:val="0"/>
                <w:numId w:val="1013"/>
              </w:numPr>
            </w:pPr>
            <w:r>
              <w:t xml:space="preserve">Yes (30)</w:t>
            </w:r>
          </w:p>
        </w:tc>
      </w:tr>
      <w:tr>
        <w:tc>
          <w:tcPr/>
          <w:p>
            <w:pPr>
              <w:pStyle w:val="FirstParagraph"/>
            </w:pPr>
            <w:r>
              <w:t xml:space="preserve">BUN ≥30 mg/dL or ≥11 mmol/L</w:t>
            </w:r>
          </w:p>
          <w:p>
            <w:pPr>
              <w:pStyle w:val="BodyText"/>
            </w:pPr>
          </w:p>
        </w:tc>
        <w:tc>
          <w:tcPr/>
          <w:p>
            <w:pPr>
              <w:pStyle w:val="Compact"/>
            </w:pPr>
            <w:r>
              <w:rPr>
                <w:b/>
                <w:bCs/>
              </w:rPr>
              <w:t xml:space="preserve">Options:</w:t>
            </w:r>
          </w:p>
          <w:p>
            <w:pPr>
              <w:pStyle w:val="Compact"/>
              <w:numPr>
                <w:ilvl w:val="0"/>
                <w:numId w:val="1014"/>
              </w:numPr>
            </w:pPr>
            <w:r>
              <w:t xml:space="preserve">No (0)</w:t>
            </w:r>
          </w:p>
          <w:p>
            <w:pPr>
              <w:pStyle w:val="Compact"/>
              <w:numPr>
                <w:ilvl w:val="0"/>
                <w:numId w:val="1014"/>
              </w:numPr>
            </w:pPr>
            <w:r>
              <w:t xml:space="preserve">Yes (20)</w:t>
            </w:r>
          </w:p>
        </w:tc>
      </w:tr>
      <w:tr>
        <w:tc>
          <w:tcPr/>
          <w:p>
            <w:pPr>
              <w:pStyle w:val="FirstParagraph"/>
            </w:pPr>
            <w:r>
              <w:t xml:space="preserve">Sodium &lt;130 mmol/L</w:t>
            </w:r>
          </w:p>
          <w:p>
            <w:pPr>
              <w:pStyle w:val="BodyText"/>
            </w:pPr>
          </w:p>
        </w:tc>
        <w:tc>
          <w:tcPr/>
          <w:p>
            <w:pPr>
              <w:pStyle w:val="Compact"/>
            </w:pPr>
            <w:r>
              <w:rPr>
                <w:b/>
                <w:bCs/>
              </w:rPr>
              <w:t xml:space="preserve">Options:</w:t>
            </w:r>
          </w:p>
          <w:p>
            <w:pPr>
              <w:pStyle w:val="Compact"/>
              <w:numPr>
                <w:ilvl w:val="0"/>
                <w:numId w:val="1015"/>
              </w:numPr>
            </w:pPr>
            <w:r>
              <w:t xml:space="preserve">No (0)</w:t>
            </w:r>
          </w:p>
          <w:p>
            <w:pPr>
              <w:pStyle w:val="Compact"/>
              <w:numPr>
                <w:ilvl w:val="0"/>
                <w:numId w:val="1015"/>
              </w:numPr>
            </w:pPr>
            <w:r>
              <w:t xml:space="preserve">Yes (20)</w:t>
            </w:r>
          </w:p>
        </w:tc>
      </w:tr>
      <w:tr>
        <w:tc>
          <w:tcPr/>
          <w:p>
            <w:pPr>
              <w:pStyle w:val="FirstParagraph"/>
            </w:pPr>
            <w:r>
              <w:t xml:space="preserve">Glucose ≥250 mg/dL or ≥14 mmol/L</w:t>
            </w:r>
          </w:p>
          <w:p>
            <w:pPr>
              <w:pStyle w:val="BodyText"/>
            </w:pPr>
          </w:p>
        </w:tc>
        <w:tc>
          <w:tcPr/>
          <w:p>
            <w:pPr>
              <w:pStyle w:val="Compact"/>
            </w:pPr>
            <w:r>
              <w:rPr>
                <w:b/>
                <w:bCs/>
              </w:rPr>
              <w:t xml:space="preserve">Options:</w:t>
            </w:r>
          </w:p>
          <w:p>
            <w:pPr>
              <w:pStyle w:val="Compact"/>
              <w:numPr>
                <w:ilvl w:val="0"/>
                <w:numId w:val="1016"/>
              </w:numPr>
            </w:pPr>
            <w:r>
              <w:t xml:space="preserve">No (0)</w:t>
            </w:r>
          </w:p>
          <w:p>
            <w:pPr>
              <w:pStyle w:val="Compact"/>
              <w:numPr>
                <w:ilvl w:val="0"/>
                <w:numId w:val="1016"/>
              </w:numPr>
            </w:pPr>
            <w:r>
              <w:t xml:space="preserve">Yes (10)</w:t>
            </w:r>
          </w:p>
        </w:tc>
      </w:tr>
      <w:tr>
        <w:tc>
          <w:tcPr/>
          <w:p>
            <w:pPr>
              <w:pStyle w:val="FirstParagraph"/>
            </w:pPr>
            <w:r>
              <w:t xml:space="preserve">Hematocrit &lt;30%</w:t>
            </w:r>
          </w:p>
          <w:p>
            <w:pPr>
              <w:pStyle w:val="BodyText"/>
            </w:pPr>
          </w:p>
        </w:tc>
        <w:tc>
          <w:tcPr/>
          <w:p>
            <w:pPr>
              <w:pStyle w:val="Compact"/>
            </w:pPr>
            <w:r>
              <w:rPr>
                <w:b/>
                <w:bCs/>
              </w:rPr>
              <w:t xml:space="preserve">Options:</w:t>
            </w:r>
          </w:p>
          <w:p>
            <w:pPr>
              <w:pStyle w:val="Compact"/>
              <w:numPr>
                <w:ilvl w:val="0"/>
                <w:numId w:val="1017"/>
              </w:numPr>
            </w:pPr>
            <w:r>
              <w:t xml:space="preserve">No (0)</w:t>
            </w:r>
          </w:p>
          <w:p>
            <w:pPr>
              <w:pStyle w:val="Compact"/>
              <w:numPr>
                <w:ilvl w:val="0"/>
                <w:numId w:val="1017"/>
              </w:numPr>
            </w:pPr>
            <w:r>
              <w:t xml:space="preserve">Yes (10)</w:t>
            </w:r>
          </w:p>
        </w:tc>
      </w:tr>
      <w:tr>
        <w:tc>
          <w:tcPr/>
          <w:p>
            <w:pPr>
              <w:pStyle w:val="FirstParagraph"/>
            </w:pPr>
            <w:r>
              <w:t xml:space="preserve">Partial pressure of oxygen &lt;60 mmHg or &lt;8 kPa</w:t>
            </w:r>
          </w:p>
          <w:p>
            <w:pPr>
              <w:pStyle w:val="BodyText"/>
            </w:pPr>
          </w:p>
        </w:tc>
        <w:tc>
          <w:tcPr/>
          <w:p>
            <w:pPr>
              <w:pStyle w:val="Compact"/>
            </w:pPr>
            <w:r>
              <w:rPr>
                <w:b/>
                <w:bCs/>
              </w:rPr>
              <w:t xml:space="preserve">Options:</w:t>
            </w:r>
          </w:p>
          <w:p>
            <w:pPr>
              <w:pStyle w:val="Compact"/>
              <w:numPr>
                <w:ilvl w:val="0"/>
                <w:numId w:val="1018"/>
              </w:numPr>
            </w:pPr>
            <w:r>
              <w:t xml:space="preserve">No (0)</w:t>
            </w:r>
          </w:p>
          <w:p>
            <w:pPr>
              <w:pStyle w:val="Compact"/>
              <w:numPr>
                <w:ilvl w:val="0"/>
                <w:numId w:val="1018"/>
              </w:numPr>
            </w:pPr>
            <w:r>
              <w:t xml:space="preserve">Yes (10)</w:t>
            </w:r>
          </w:p>
        </w:tc>
      </w:tr>
      <w:tr>
        <w:tc>
          <w:tcPr/>
          <w:p>
            <w:pPr>
              <w:pStyle w:val="FirstParagraph"/>
            </w:pPr>
            <w:r>
              <w:t xml:space="preserve">Pleural effusion on x-ray</w:t>
            </w:r>
          </w:p>
          <w:p>
            <w:pPr>
              <w:pStyle w:val="BodyText"/>
            </w:pPr>
          </w:p>
        </w:tc>
        <w:tc>
          <w:tcPr/>
          <w:p>
            <w:pPr>
              <w:pStyle w:val="Compact"/>
            </w:pPr>
            <w:r>
              <w:rPr>
                <w:b/>
                <w:bCs/>
              </w:rPr>
              <w:t xml:space="preserve">Options:</w:t>
            </w:r>
          </w:p>
          <w:p>
            <w:pPr>
              <w:pStyle w:val="Compact"/>
              <w:numPr>
                <w:ilvl w:val="0"/>
                <w:numId w:val="1019"/>
              </w:numPr>
            </w:pPr>
            <w:r>
              <w:t xml:space="preserve">No (0)</w:t>
            </w:r>
          </w:p>
          <w:p>
            <w:pPr>
              <w:pStyle w:val="Compact"/>
              <w:numPr>
                <w:ilvl w:val="0"/>
                <w:numId w:val="1019"/>
              </w:numPr>
            </w:pPr>
            <w:r>
              <w:t xml:space="preserve">Yes (10)</w:t>
            </w:r>
          </w:p>
        </w:tc>
      </w:tr>
    </w:tbl>
    <w:bookmarkEnd w:id="20"/>
    <w:bookmarkStart w:id="21" w:name="formula"/>
    <w:p>
      <w:pPr>
        <w:pStyle w:val="Heading2"/>
      </w:pPr>
      <w:r>
        <w:t xml:space="preserve">FORMULA</w:t>
      </w:r>
    </w:p>
    <w:p>
      <w:pPr>
        <w:pStyle w:val="FirstParagraph"/>
      </w:pPr>
      <w:r>
        <w:t xml:space="preserve">Addition of selected points, as above.</w:t>
      </w:r>
    </w:p>
    <w:bookmarkEnd w:id="21"/>
    <w:bookmarkStart w:id="22" w:name="facts-figures"/>
    <w:p>
      <w:pPr>
        <w:pStyle w:val="Heading2"/>
      </w:pPr>
      <w:r>
        <w:t xml:space="preserve">FACTS &amp; FIGURES</w:t>
      </w:r>
    </w:p>
    <w:p>
      <w:pPr>
        <w:pStyle w:val="FirstParagraph"/>
      </w:pPr>
      <w:r>
        <w:rPr>
          <w:b/>
          <w:bCs/>
        </w:rPr>
        <w:t xml:space="preserve">Score interpretation:</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Risk Class</w:t>
            </w:r>
          </w:p>
        </w:tc>
        <w:tc>
          <w:tcPr/>
          <w:p>
            <w:pPr>
              <w:pStyle w:val="Compact"/>
            </w:pPr>
            <w:r>
              <w:t xml:space="preserve">Risk</w:t>
            </w:r>
          </w:p>
        </w:tc>
        <w:tc>
          <w:tcPr/>
          <w:p>
            <w:pPr>
              <w:pStyle w:val="Compact"/>
            </w:pPr>
            <w:r>
              <w:t xml:space="preserve">Point Value</w:t>
            </w:r>
          </w:p>
        </w:tc>
      </w:tr>
      <w:tr>
        <w:tc>
          <w:tcPr/>
          <w:p>
            <w:pPr>
              <w:pStyle w:val="Compact"/>
            </w:pPr>
            <w:r>
              <w:t xml:space="preserve">I</w:t>
            </w:r>
          </w:p>
        </w:tc>
        <w:tc>
          <w:tcPr/>
          <w:p>
            <w:pPr>
              <w:pStyle w:val="Compact"/>
            </w:pPr>
            <w:r>
              <w:t xml:space="preserve">Low</w:t>
            </w:r>
          </w:p>
        </w:tc>
        <w:tc>
          <w:tcPr/>
          <w:p>
            <w:pPr>
              <w:pStyle w:val="Compact"/>
            </w:pPr>
            <w:r>
              <w:t xml:space="preserve">None from Comorbidities, PE findings, or Lab findings</w:t>
            </w:r>
          </w:p>
        </w:tc>
      </w:tr>
      <w:tr>
        <w:tc>
          <w:tcPr/>
          <w:p>
            <w:pPr>
              <w:pStyle w:val="Compact"/>
            </w:pPr>
            <w:r>
              <w:t xml:space="preserve">II</w:t>
            </w:r>
          </w:p>
        </w:tc>
        <w:tc>
          <w:tcPr/>
          <w:p>
            <w:pPr>
              <w:pStyle w:val="Compact"/>
            </w:pPr>
            <w:r>
              <w:t xml:space="preserve">Low</w:t>
            </w:r>
          </w:p>
        </w:tc>
        <w:tc>
          <w:tcPr/>
          <w:p>
            <w:pPr>
              <w:pStyle w:val="Compact"/>
            </w:pPr>
            <w:r>
              <w:t xml:space="preserve">≤70 points</w:t>
            </w:r>
          </w:p>
        </w:tc>
      </w:tr>
      <w:tr>
        <w:tc>
          <w:tcPr/>
          <w:p>
            <w:pPr>
              <w:pStyle w:val="Compact"/>
            </w:pPr>
            <w:r>
              <w:t xml:space="preserve">III</w:t>
            </w:r>
          </w:p>
        </w:tc>
        <w:tc>
          <w:tcPr/>
          <w:p>
            <w:pPr>
              <w:pStyle w:val="Compact"/>
            </w:pPr>
            <w:r>
              <w:t xml:space="preserve">Low</w:t>
            </w:r>
          </w:p>
        </w:tc>
        <w:tc>
          <w:tcPr/>
          <w:p>
            <w:pPr>
              <w:pStyle w:val="Compact"/>
            </w:pPr>
            <w:r>
              <w:t xml:space="preserve">71-90</w:t>
            </w:r>
          </w:p>
        </w:tc>
      </w:tr>
      <w:tr>
        <w:tc>
          <w:tcPr/>
          <w:p>
            <w:pPr>
              <w:pStyle w:val="Compact"/>
            </w:pPr>
            <w:r>
              <w:t xml:space="preserve">IV</w:t>
            </w:r>
          </w:p>
        </w:tc>
        <w:tc>
          <w:tcPr/>
          <w:p>
            <w:pPr>
              <w:pStyle w:val="Compact"/>
            </w:pPr>
            <w:r>
              <w:t xml:space="preserve">Moderate</w:t>
            </w:r>
          </w:p>
        </w:tc>
        <w:tc>
          <w:tcPr/>
          <w:p>
            <w:pPr>
              <w:pStyle w:val="Compact"/>
            </w:pPr>
            <w:r>
              <w:t xml:space="preserve">91-130</w:t>
            </w:r>
          </w:p>
        </w:tc>
      </w:tr>
      <w:tr>
        <w:tc>
          <w:tcPr/>
          <w:p>
            <w:pPr>
              <w:pStyle w:val="Compact"/>
            </w:pPr>
            <w:r>
              <w:t xml:space="preserve">V</w:t>
            </w:r>
          </w:p>
        </w:tc>
        <w:tc>
          <w:tcPr/>
          <w:p>
            <w:pPr>
              <w:pStyle w:val="Compact"/>
            </w:pPr>
            <w:r>
              <w:t xml:space="preserve">High</w:t>
            </w:r>
          </w:p>
        </w:tc>
        <w:tc>
          <w:tcPr/>
          <w:p>
            <w:pPr>
              <w:pStyle w:val="Compact"/>
            </w:pPr>
            <w:r>
              <w:t xml:space="preserve">&gt;130 total points</w:t>
            </w:r>
          </w:p>
        </w:tc>
      </w:tr>
    </w:tbl>
    <w:bookmarkEnd w:id="22"/>
    <w:bookmarkStart w:id="23" w:name="evidence-appraisal"/>
    <w:p>
      <w:pPr>
        <w:pStyle w:val="Heading2"/>
      </w:pPr>
      <w:r>
        <w:t xml:space="preserve">EVIDENCE APPRAISAL</w:t>
      </w:r>
    </w:p>
    <w:p>
      <w:pPr>
        <w:pStyle w:val="FirstParagraph"/>
      </w:pPr>
      <w:r>
        <w:t xml:space="preserve">The original study created a five-tier risk stratification based on 14199 inpatients with community acquired pneumonia. This was then validated on 38039 inpatients and additionally another 2287 inpatients and outpatients. Points are assigned based on age, co-morbid disease, abnormal physical findings, and abnormal laboratory results.</w:t>
      </w:r>
    </w:p>
    <w:p>
      <w:pPr>
        <w:pStyle w:val="BodyText"/>
      </w:pPr>
      <w:r>
        <w:t xml:space="preserve">In comparison to the PSI score, CURB-65 offers equal sensitivity of mortality prediction due to community acquired pneumonia. Notably, CURB-65 (74.6%) has a higher specificity than PSI (52.2%). However, CURB-65 had a lower sensitivity than PSI in predicting ICU admission.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2024-07-22T20:04:02Z</dcterms:created>
  <dcterms:modified xsi:type="dcterms:W3CDTF">2024-07-22T20:04:02Z</dcterms:modified>
</cp:coreProperties>
</file>

<file path=docProps/custom.xml><?xml version="1.0" encoding="utf-8"?>
<Properties xmlns="http://schemas.openxmlformats.org/officeDocument/2006/custom-properties" xmlns:vt="http://schemas.openxmlformats.org/officeDocument/2006/docPropsVTypes"/>
</file>