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rrected-qt-interval-qtc"/>
    <w:p>
      <w:pPr>
        <w:pStyle w:val="Heading1"/>
      </w:pPr>
      <w:r>
        <w:t xml:space="preserve">Corrected QT Interval (QTc)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Formula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Bazett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Fridericia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Framingham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Hodges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Rautaharju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Heart rate/pulse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Paper speed, mm/sec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25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50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QT interval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Toggle unit to use msec or small boxes; 1 small box = 40 msec (see below for example where QT interval = 4 small boxes)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QT interval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Toggle unit to use msec or small boxes; 1 small box = 20 msec (see below for example where QT interval = 4 small boxes)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RR interval = 60 / HR</w:t>
      </w:r>
    </w:p>
    <w:p>
      <w:pPr>
        <w:pStyle w:val="BodyText"/>
      </w:pPr>
      <w:r>
        <w:rPr>
          <w:b/>
          <w:bCs/>
        </w:rPr>
        <w:t xml:space="preserve">Bazett Formula:</w:t>
      </w:r>
      <w:r>
        <w:t xml:space="preserve"> QTc = QT interval / √ (RR interval)</w:t>
      </w:r>
    </w:p>
    <w:p>
      <w:pPr>
        <w:pStyle w:val="BodyText"/>
      </w:pPr>
      <w:r>
        <w:rPr>
          <w:b/>
          <w:bCs/>
        </w:rPr>
        <w:t xml:space="preserve">Fridericia Formula:</w:t>
      </w:r>
      <w:r>
        <w:t xml:space="preserve"> QTc = QT interval / (RR interval)</w:t>
      </w:r>
      <w:r>
        <w:rPr>
          <w:vertAlign w:val="superscript"/>
        </w:rPr>
        <w:t xml:space="preserve">1/3</w:t>
      </w:r>
    </w:p>
    <w:p>
      <w:pPr>
        <w:pStyle w:val="BodyText"/>
      </w:pPr>
      <w:r>
        <w:rPr>
          <w:b/>
          <w:bCs/>
        </w:rPr>
        <w:t xml:space="preserve">Framingham Formula:</w:t>
      </w:r>
      <w:r>
        <w:t xml:space="preserve"> QTc = QT interval + 154 x (1 - RR interval)</w:t>
      </w:r>
    </w:p>
    <w:p>
      <w:pPr>
        <w:pStyle w:val="BodyText"/>
      </w:pPr>
      <w:r>
        <w:rPr>
          <w:b/>
          <w:bCs/>
        </w:rPr>
        <w:t xml:space="preserve">Hodges Formula:</w:t>
      </w:r>
      <w:r>
        <w:t xml:space="preserve"> QTc = QT interval + 1.75 x [(60 / RR interval) − 60]</w:t>
      </w:r>
    </w:p>
    <w:p>
      <w:pPr>
        <w:pStyle w:val="BodyText"/>
      </w:pPr>
      <w:r>
        <w:rPr>
          <w:b/>
          <w:bCs/>
        </w:rPr>
        <w:t xml:space="preserve">Rautaharju Formula:</w:t>
      </w:r>
      <w:r>
        <w:t xml:space="preserve"> QTc = QT interval x (120 + HR) / 180</w:t>
      </w:r>
    </w:p>
    <w:bookmarkEnd w:id="21"/>
    <w:bookmarkStart w:id="25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Normal QTc ≤440 msec. A longer QTc puts the patient at increased risk for torsade de pointes.</w:t>
      </w:r>
    </w:p>
    <w:p>
      <w:pPr>
        <w:pStyle w:val="BodyText"/>
      </w:pPr>
      <w:r>
        <w:t xml:space="preserve">Some causes of prolonged QT:</w:t>
      </w:r>
    </w:p>
    <w:p>
      <w:pPr>
        <w:pStyle w:val="Compact"/>
        <w:numPr>
          <w:ilvl w:val="0"/>
          <w:numId w:val="1003"/>
        </w:numPr>
      </w:pPr>
      <w:r>
        <w:t xml:space="preserve">Electrolyte abnormalities:</w:t>
      </w:r>
    </w:p>
    <w:p>
      <w:pPr>
        <w:pStyle w:val="Compact"/>
        <w:numPr>
          <w:ilvl w:val="1"/>
          <w:numId w:val="1004"/>
        </w:numPr>
      </w:pPr>
      <w:r>
        <w:t xml:space="preserve">Hypocalcemia.</w:t>
      </w:r>
    </w:p>
    <w:p>
      <w:pPr>
        <w:pStyle w:val="Compact"/>
        <w:numPr>
          <w:ilvl w:val="1"/>
          <w:numId w:val="1004"/>
        </w:numPr>
      </w:pPr>
      <w:r>
        <w:t xml:space="preserve">Hypokalemia.</w:t>
      </w:r>
    </w:p>
    <w:p>
      <w:pPr>
        <w:pStyle w:val="Compact"/>
        <w:numPr>
          <w:ilvl w:val="1"/>
          <w:numId w:val="1004"/>
        </w:numPr>
      </w:pPr>
      <w:r>
        <w:t xml:space="preserve">Hypomagnesemia.</w:t>
      </w:r>
    </w:p>
    <w:p>
      <w:pPr>
        <w:pStyle w:val="Compact"/>
        <w:numPr>
          <w:ilvl w:val="0"/>
          <w:numId w:val="1004"/>
        </w:numPr>
      </w:pPr>
      <w:r>
        <w:t xml:space="preserve">Intrinsic cardiac causes:</w:t>
      </w:r>
    </w:p>
    <w:p>
      <w:pPr>
        <w:pStyle w:val="Compact"/>
        <w:numPr>
          <w:ilvl w:val="1"/>
          <w:numId w:val="1005"/>
        </w:numPr>
      </w:pPr>
      <w:r>
        <w:t xml:space="preserve">Myocardial ischemia.</w:t>
      </w:r>
    </w:p>
    <w:p>
      <w:pPr>
        <w:pStyle w:val="Compact"/>
        <w:numPr>
          <w:ilvl w:val="1"/>
          <w:numId w:val="1005"/>
        </w:numPr>
      </w:pPr>
      <w:r>
        <w:t xml:space="preserve">After cardiac arrest.</w:t>
      </w:r>
    </w:p>
    <w:p>
      <w:pPr>
        <w:pStyle w:val="Compact"/>
        <w:numPr>
          <w:ilvl w:val="1"/>
          <w:numId w:val="1005"/>
        </w:numPr>
      </w:pPr>
      <w:r>
        <w:t xml:space="preserve">CAD.</w:t>
      </w:r>
    </w:p>
    <w:p>
      <w:pPr>
        <w:pStyle w:val="Compact"/>
        <w:numPr>
          <w:ilvl w:val="1"/>
          <w:numId w:val="1005"/>
        </w:numPr>
      </w:pPr>
      <w:r>
        <w:t xml:space="preserve">Cardiomyopathy.</w:t>
      </w:r>
    </w:p>
    <w:p>
      <w:pPr>
        <w:pStyle w:val="Compact"/>
        <w:numPr>
          <w:ilvl w:val="1"/>
          <w:numId w:val="1005"/>
        </w:numPr>
      </w:pPr>
      <w:r>
        <w:t xml:space="preserve">Severe bradycardia, high-grade AV block.</w:t>
      </w:r>
    </w:p>
    <w:p>
      <w:pPr>
        <w:pStyle w:val="Compact"/>
        <w:numPr>
          <w:ilvl w:val="1"/>
          <w:numId w:val="1005"/>
        </w:numPr>
      </w:pPr>
      <w:r>
        <w:t xml:space="preserve">Congenital long QT syndrome.</w:t>
      </w:r>
    </w:p>
    <w:p>
      <w:pPr>
        <w:pStyle w:val="Compact"/>
        <w:numPr>
          <w:ilvl w:val="0"/>
          <w:numId w:val="1005"/>
        </w:numPr>
      </w:pPr>
      <w:r>
        <w:t xml:space="preserve">Central causes:</w:t>
      </w:r>
    </w:p>
    <w:p>
      <w:pPr>
        <w:pStyle w:val="Compact"/>
        <w:numPr>
          <w:ilvl w:val="1"/>
          <w:numId w:val="1006"/>
        </w:numPr>
      </w:pPr>
      <w:r>
        <w:t xml:space="preserve">Raised intracranial pressure.</w:t>
      </w:r>
    </w:p>
    <w:p>
      <w:pPr>
        <w:pStyle w:val="Compact"/>
        <w:numPr>
          <w:ilvl w:val="1"/>
          <w:numId w:val="1006"/>
        </w:numPr>
      </w:pPr>
      <w:r>
        <w:t xml:space="preserve">Autonomic dysfunction.</w:t>
      </w:r>
    </w:p>
    <w:p>
      <w:pPr>
        <w:pStyle w:val="Compact"/>
        <w:numPr>
          <w:ilvl w:val="1"/>
          <w:numId w:val="1006"/>
        </w:numPr>
      </w:pPr>
      <w:r>
        <w:t xml:space="preserve">Hypothyroid.</w:t>
      </w:r>
    </w:p>
    <w:p>
      <w:pPr>
        <w:pStyle w:val="Compact"/>
        <w:numPr>
          <w:ilvl w:val="1"/>
          <w:numId w:val="1006"/>
        </w:numPr>
      </w:pPr>
      <w:r>
        <w:t xml:space="preserve">Hypothermia.</w:t>
      </w:r>
    </w:p>
    <w:p>
      <w:pPr>
        <w:pStyle w:val="Compact"/>
        <w:numPr>
          <w:ilvl w:val="0"/>
          <w:numId w:val="1006"/>
        </w:numPr>
      </w:pPr>
      <w:r>
        <w:t xml:space="preserve">Medications:</w:t>
      </w:r>
    </w:p>
    <w:p>
      <w:pPr>
        <w:pStyle w:val="Compact"/>
        <w:numPr>
          <w:ilvl w:val="1"/>
          <w:numId w:val="1007"/>
        </w:numPr>
      </w:pPr>
      <w:r>
        <w:t xml:space="preserve">Anti-arrhythmics.</w:t>
      </w:r>
    </w:p>
    <w:p>
      <w:pPr>
        <w:pStyle w:val="Compact"/>
        <w:numPr>
          <w:ilvl w:val="1"/>
          <w:numId w:val="1007"/>
        </w:numPr>
      </w:pPr>
      <w:r>
        <w:t xml:space="preserve">Psychotropic drugs.</w:t>
      </w:r>
    </w:p>
    <w:p>
      <w:pPr>
        <w:pStyle w:val="Compact"/>
        <w:numPr>
          <w:ilvl w:val="1"/>
          <w:numId w:val="1007"/>
        </w:numPr>
      </w:pPr>
      <w:r>
        <w:t xml:space="preserve">Other drugs.</w:t>
      </w:r>
    </w:p>
    <w:p>
      <w:pPr>
        <w:pStyle w:val="FirstParagraph"/>
      </w:pPr>
      <w:r>
        <w:rPr>
          <w:b/>
          <w:bCs/>
        </w:rPr>
        <w:t xml:space="preserve">QT Nomogram:</w:t>
      </w:r>
    </w:p>
    <w:p>
      <w:pPr>
        <w:pStyle w:val="BodyText"/>
      </w:pPr>
      <w:r>
        <w:drawing>
          <wp:inline>
            <wp:extent cx="4015686" cy="22252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cdn-web-img.mdcalc.com/qt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22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evidence-appraisal"/>
    <w:p>
      <w:pPr>
        <w:pStyle w:val="Heading2"/>
      </w:pPr>
      <w:r>
        <w:t xml:space="preserve">EVIDENCE APPRAISAL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2024-07-22T20:04:45Z</dcterms:created>
  <dcterms:modified xsi:type="dcterms:W3CDTF">2024-07-22T20:04:45Z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