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sirs-sepsis-and-septic-shock-criteria"/>
    <w:p>
      <w:pPr>
        <w:pStyle w:val="Heading1"/>
      </w:pPr>
      <w:r>
        <w:t xml:space="preserve">SIRS, Sepsis, and Septic Shock Criteria</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Temp &gt;38°C (100.4°F) or &lt;36°C (96.8°F)</w:t>
            </w:r>
          </w:p>
          <w:p>
            <w:pPr>
              <w:pStyle w:val="BodyText"/>
            </w:pPr>
          </w:p>
        </w:tc>
        <w:tc>
          <w:tcPr/>
          <w:p>
            <w:pPr>
              <w:pStyle w:val="Compact"/>
            </w:pPr>
            <w:r>
              <w:rPr>
                <w:b/>
                <w:bCs/>
              </w:rPr>
              <w:t xml:space="preserve">Options:</w:t>
            </w:r>
          </w:p>
          <w:p>
            <w:pPr>
              <w:pStyle w:val="Compact"/>
              <w:numPr>
                <w:ilvl w:val="0"/>
                <w:numId w:val="1001"/>
              </w:numPr>
            </w:pPr>
            <w:r>
              <w:t xml:space="preserve">No</w:t>
            </w:r>
          </w:p>
          <w:p>
            <w:pPr>
              <w:pStyle w:val="Compact"/>
              <w:numPr>
                <w:ilvl w:val="0"/>
                <w:numId w:val="1001"/>
              </w:numPr>
            </w:pPr>
            <w:r>
              <w:t xml:space="preserve">Yes</w:t>
            </w:r>
          </w:p>
        </w:tc>
      </w:tr>
      <w:tr>
        <w:tc>
          <w:tcPr/>
          <w:p>
            <w:pPr>
              <w:pStyle w:val="FirstParagraph"/>
            </w:pPr>
            <w:r>
              <w:t xml:space="preserve">Heart rate &gt;90</w:t>
            </w:r>
          </w:p>
          <w:p>
            <w:pPr>
              <w:pStyle w:val="BodyText"/>
            </w:pPr>
          </w:p>
        </w:tc>
        <w:tc>
          <w:tcPr/>
          <w:p>
            <w:pPr>
              <w:pStyle w:val="Compact"/>
            </w:pPr>
            <w:r>
              <w:rPr>
                <w:b/>
                <w:bCs/>
              </w:rPr>
              <w:t xml:space="preserve">Options:</w:t>
            </w:r>
          </w:p>
          <w:p>
            <w:pPr>
              <w:pStyle w:val="Compact"/>
              <w:numPr>
                <w:ilvl w:val="0"/>
                <w:numId w:val="1002"/>
              </w:numPr>
            </w:pPr>
            <w:r>
              <w:t xml:space="preserve">No</w:t>
            </w:r>
          </w:p>
          <w:p>
            <w:pPr>
              <w:pStyle w:val="Compact"/>
              <w:numPr>
                <w:ilvl w:val="0"/>
                <w:numId w:val="1002"/>
              </w:numPr>
            </w:pPr>
            <w:r>
              <w:t xml:space="preserve">Yes</w:t>
            </w:r>
          </w:p>
        </w:tc>
      </w:tr>
      <w:tr>
        <w:tc>
          <w:tcPr/>
          <w:p>
            <w:pPr>
              <w:pStyle w:val="FirstParagraph"/>
            </w:pPr>
            <w:r>
              <w:t xml:space="preserve">Respiratory rate &gt;20 or PaCO₂ &lt;32 mm Hg</w:t>
            </w:r>
          </w:p>
          <w:p>
            <w:pPr>
              <w:pStyle w:val="BodyText"/>
            </w:pPr>
          </w:p>
        </w:tc>
        <w:tc>
          <w:tcPr/>
          <w:p>
            <w:pPr>
              <w:pStyle w:val="Compact"/>
            </w:pPr>
            <w:r>
              <w:rPr>
                <w:b/>
                <w:bCs/>
              </w:rPr>
              <w:t xml:space="preserve">Options:</w:t>
            </w:r>
          </w:p>
          <w:p>
            <w:pPr>
              <w:pStyle w:val="Compact"/>
              <w:numPr>
                <w:ilvl w:val="0"/>
                <w:numId w:val="1003"/>
              </w:numPr>
            </w:pPr>
            <w:r>
              <w:t xml:space="preserve">No</w:t>
            </w:r>
          </w:p>
          <w:p>
            <w:pPr>
              <w:pStyle w:val="Compact"/>
              <w:numPr>
                <w:ilvl w:val="0"/>
                <w:numId w:val="1003"/>
              </w:numPr>
            </w:pPr>
            <w:r>
              <w:t xml:space="preserve">Yes</w:t>
            </w:r>
          </w:p>
        </w:tc>
      </w:tr>
      <w:tr>
        <w:tc>
          <w:tcPr/>
          <w:p>
            <w:pPr>
              <w:pStyle w:val="FirstParagraph"/>
            </w:pPr>
            <w:r>
              <w:t xml:space="preserve">WBC &gt;12,000/mm³, &lt;4,000/mm³, or &gt;10% bands</w:t>
            </w:r>
          </w:p>
          <w:p>
            <w:pPr>
              <w:pStyle w:val="BodyText"/>
            </w:pPr>
          </w:p>
        </w:tc>
        <w:tc>
          <w:tcPr/>
          <w:p>
            <w:pPr>
              <w:pStyle w:val="Compact"/>
            </w:pPr>
            <w:r>
              <w:rPr>
                <w:b/>
                <w:bCs/>
              </w:rPr>
              <w:t xml:space="preserve">Options:</w:t>
            </w:r>
          </w:p>
          <w:p>
            <w:pPr>
              <w:pStyle w:val="Compact"/>
              <w:numPr>
                <w:ilvl w:val="0"/>
                <w:numId w:val="1004"/>
              </w:numPr>
            </w:pPr>
            <w:r>
              <w:t xml:space="preserve">No</w:t>
            </w:r>
          </w:p>
          <w:p>
            <w:pPr>
              <w:pStyle w:val="Compact"/>
              <w:numPr>
                <w:ilvl w:val="0"/>
                <w:numId w:val="1004"/>
              </w:numPr>
            </w:pPr>
            <w:r>
              <w:t xml:space="preserve">Yes</w:t>
            </w:r>
          </w:p>
        </w:tc>
      </w:tr>
      <w:tr>
        <w:tc>
          <w:tcPr/>
          <w:p>
            <w:pPr>
              <w:pStyle w:val="FirstParagraph"/>
            </w:pPr>
            <w:r>
              <w:t xml:space="preserve">Suspected or present source of infection</w:t>
            </w:r>
          </w:p>
          <w:p>
            <w:pPr>
              <w:pStyle w:val="BodyText"/>
            </w:pPr>
          </w:p>
        </w:tc>
        <w:tc>
          <w:tcPr/>
          <w:p>
            <w:pPr>
              <w:pStyle w:val="Compact"/>
            </w:pPr>
            <w:r>
              <w:rPr>
                <w:b/>
                <w:bCs/>
              </w:rPr>
              <w:t xml:space="preserve">Options:</w:t>
            </w:r>
          </w:p>
          <w:p>
            <w:pPr>
              <w:pStyle w:val="Compact"/>
              <w:numPr>
                <w:ilvl w:val="0"/>
                <w:numId w:val="1005"/>
              </w:numPr>
            </w:pPr>
            <w:r>
              <w:t xml:space="preserve">No</w:t>
            </w:r>
          </w:p>
          <w:p>
            <w:pPr>
              <w:pStyle w:val="Compact"/>
              <w:numPr>
                <w:ilvl w:val="0"/>
                <w:numId w:val="1005"/>
              </w:numPr>
            </w:pPr>
            <w:r>
              <w:t xml:space="preserve">Yes</w:t>
            </w:r>
          </w:p>
        </w:tc>
      </w:tr>
      <w:tr>
        <w:tc>
          <w:tcPr/>
          <w:p>
            <w:pPr>
              <w:pStyle w:val="FirstParagraph"/>
            </w:pPr>
            <w:r>
              <w:t xml:space="preserve">Lactic acidosis, SBP &lt;90 or SBP drop ≥40 mm Hg of normal</w:t>
            </w:r>
          </w:p>
          <w:p>
            <w:pPr>
              <w:pStyle w:val="BodyText"/>
            </w:pPr>
          </w:p>
        </w:tc>
        <w:tc>
          <w:tcPr/>
          <w:p>
            <w:pPr>
              <w:pStyle w:val="Compact"/>
            </w:pPr>
            <w:r>
              <w:rPr>
                <w:b/>
                <w:bCs/>
              </w:rPr>
              <w:t xml:space="preserve">Options:</w:t>
            </w:r>
          </w:p>
          <w:p>
            <w:pPr>
              <w:pStyle w:val="Compact"/>
              <w:numPr>
                <w:ilvl w:val="0"/>
                <w:numId w:val="1006"/>
              </w:numPr>
            </w:pPr>
            <w:r>
              <w:t xml:space="preserve">No</w:t>
            </w:r>
          </w:p>
          <w:p>
            <w:pPr>
              <w:pStyle w:val="Compact"/>
              <w:numPr>
                <w:ilvl w:val="0"/>
                <w:numId w:val="1006"/>
              </w:numPr>
            </w:pPr>
            <w:r>
              <w:t xml:space="preserve">Yes</w:t>
            </w:r>
          </w:p>
        </w:tc>
      </w:tr>
      <w:tr>
        <w:tc>
          <w:tcPr/>
          <w:p>
            <w:pPr>
              <w:pStyle w:val="FirstParagraph"/>
            </w:pPr>
            <w:r>
              <w:t xml:space="preserve">Severe sepsis with hypotension, despite adequate fluid resuscitation</w:t>
            </w:r>
          </w:p>
          <w:p>
            <w:pPr>
              <w:pStyle w:val="BodyText"/>
            </w:pPr>
          </w:p>
        </w:tc>
        <w:tc>
          <w:tcPr/>
          <w:p>
            <w:pPr>
              <w:pStyle w:val="Compact"/>
            </w:pPr>
            <w:r>
              <w:rPr>
                <w:b/>
                <w:bCs/>
              </w:rPr>
              <w:t xml:space="preserve">Options:</w:t>
            </w:r>
          </w:p>
          <w:p>
            <w:pPr>
              <w:pStyle w:val="Compact"/>
              <w:numPr>
                <w:ilvl w:val="0"/>
                <w:numId w:val="1007"/>
              </w:numPr>
            </w:pPr>
            <w:r>
              <w:t xml:space="preserve">No</w:t>
            </w:r>
          </w:p>
          <w:p>
            <w:pPr>
              <w:pStyle w:val="Compact"/>
              <w:numPr>
                <w:ilvl w:val="0"/>
                <w:numId w:val="1007"/>
              </w:numPr>
            </w:pPr>
            <w:r>
              <w:t xml:space="preserve">Yes</w:t>
            </w:r>
          </w:p>
        </w:tc>
      </w:tr>
      <w:tr>
        <w:tc>
          <w:tcPr/>
          <w:p>
            <w:pPr>
              <w:pStyle w:val="FirstParagraph"/>
            </w:pPr>
            <w:r>
              <w:t xml:space="preserve">Evidence of ≥2 organs failing</w:t>
            </w:r>
          </w:p>
          <w:p>
            <w:pPr>
              <w:pStyle w:val="BodyText"/>
            </w:pPr>
          </w:p>
        </w:tc>
        <w:tc>
          <w:tcPr/>
          <w:p>
            <w:pPr>
              <w:pStyle w:val="Compact"/>
            </w:pPr>
            <w:r>
              <w:rPr>
                <w:b/>
                <w:bCs/>
              </w:rPr>
              <w:t xml:space="preserve">Options:</w:t>
            </w:r>
          </w:p>
          <w:p>
            <w:pPr>
              <w:pStyle w:val="Compact"/>
              <w:numPr>
                <w:ilvl w:val="0"/>
                <w:numId w:val="1008"/>
              </w:numPr>
            </w:pPr>
            <w:r>
              <w:t xml:space="preserve">No</w:t>
            </w:r>
          </w:p>
          <w:p>
            <w:pPr>
              <w:pStyle w:val="Compact"/>
              <w:numPr>
                <w:ilvl w:val="0"/>
                <w:numId w:val="1008"/>
              </w:numPr>
            </w:pPr>
            <w:r>
              <w:t xml:space="preserve">Yes</w:t>
            </w:r>
          </w:p>
        </w:tc>
      </w:tr>
    </w:tbl>
    <w:bookmarkEnd w:id="20"/>
    <w:bookmarkStart w:id="21" w:name="formula"/>
    <w:p>
      <w:pPr>
        <w:pStyle w:val="Heading2"/>
      </w:pPr>
      <w:r>
        <w:t xml:space="preserve">FORMULA</w:t>
      </w:r>
    </w:p>
    <w:p>
      <w:pPr>
        <w:pStyle w:val="FirstParagraph"/>
      </w:pPr>
      <w:r>
        <w:t xml:space="preserve">Series of Yes/No questions.</w:t>
      </w:r>
    </w:p>
    <w:bookmarkEnd w:id="21"/>
    <w:bookmarkStart w:id="25" w:name="facts-figures"/>
    <w:p>
      <w:pPr>
        <w:pStyle w:val="Heading2"/>
      </w:pPr>
      <w:r>
        <w:t xml:space="preserve">FACTS &amp; FIGURES</w:t>
      </w:r>
    </w:p>
    <w:p>
      <w:pPr>
        <w:pStyle w:val="Compact"/>
        <w:numPr>
          <w:ilvl w:val="0"/>
          <w:numId w:val="1009"/>
        </w:numPr>
      </w:pPr>
      <w:r>
        <w:t xml:space="preserve">SIRS - 2 YES answers meets criteria.</w:t>
      </w:r>
    </w:p>
    <w:p>
      <w:pPr>
        <w:pStyle w:val="Compact"/>
        <w:numPr>
          <w:ilvl w:val="0"/>
          <w:numId w:val="1009"/>
        </w:numPr>
      </w:pPr>
      <w:r>
        <w:t xml:space="preserve">Sepsis Criteria - 2 YES of SIRS + Suspected Source of Infection.</w:t>
      </w:r>
    </w:p>
    <w:p>
      <w:pPr>
        <w:pStyle w:val="Compact"/>
        <w:numPr>
          <w:ilvl w:val="0"/>
          <w:numId w:val="1009"/>
        </w:numPr>
      </w:pPr>
      <w:r>
        <w:t xml:space="preserve">Severe Sepsis Criteria - 2 YES of SIRS + Lactic Acidosis, SBP.</w:t>
      </w:r>
    </w:p>
    <w:p>
      <w:pPr>
        <w:pStyle w:val="Compact"/>
        <w:numPr>
          <w:ilvl w:val="0"/>
          <w:numId w:val="1009"/>
        </w:numPr>
      </w:pPr>
      <w:r>
        <w:t xml:space="preserve">Multiple Organ Dysfunction Syndrome - 2 YES of SIRS + Evidence of ≥ 2 Organs Failing.</w:t>
      </w:r>
    </w:p>
    <w:p>
      <w:pPr>
        <w:pStyle w:val="FirstParagraph"/>
      </w:pPr>
      <w:r>
        <w:t xml:space="preserve">Check with your own hospital for its sepsis guidelines, sepsis 'bundle' or sepsis algorithm. Two excellent sepsis references (</w:t>
      </w:r>
      <w:hyperlink r:id="rId22">
        <w:r>
          <w:rPr>
            <w:rStyle w:val="Hyperlink"/>
          </w:rPr>
          <w:t xml:space="preserve">1</w:t>
        </w:r>
      </w:hyperlink>
      <w:r>
        <w:t xml:space="preserve">,</w:t>
      </w:r>
      <w:r>
        <w:t xml:space="preserve"> </w:t>
      </w:r>
      <w:hyperlink r:id="rId23">
        <w:r>
          <w:rPr>
            <w:rStyle w:val="Hyperlink"/>
          </w:rPr>
          <w:t xml:space="preserve">2</w:t>
        </w:r>
      </w:hyperlink>
      <w:r>
        <w:t xml:space="preserve">) come from the</w:t>
      </w:r>
      <w:r>
        <w:t xml:space="preserve"> </w:t>
      </w:r>
      <w:hyperlink r:id="rId24">
        <w:r>
          <w:rPr>
            <w:rStyle w:val="Hyperlink"/>
          </w:rPr>
          <w:t xml:space="preserve">EMCrit</w:t>
        </w:r>
      </w:hyperlink>
      <w:r>
        <w:t xml:space="preserve"> </w:t>
      </w:r>
      <w:r>
        <w:t xml:space="preserve">website.</w:t>
      </w:r>
    </w:p>
    <w:bookmarkEnd w:id="25"/>
    <w:bookmarkStart w:id="28" w:name="evidence-appraisal"/>
    <w:p>
      <w:pPr>
        <w:pStyle w:val="Heading2"/>
      </w:pPr>
      <w:r>
        <w:t xml:space="preserve">EVIDENCE APPRAISAL</w:t>
      </w:r>
    </w:p>
    <w:p>
      <w:pPr>
        <w:pStyle w:val="Compact"/>
        <w:numPr>
          <w:ilvl w:val="0"/>
          <w:numId w:val="1010"/>
        </w:numPr>
      </w:pPr>
      <w:hyperlink r:id="rId26">
        <w:r>
          <w:rPr>
            <w:rStyle w:val="Hyperlink"/>
          </w:rPr>
          <w:t xml:space="preserve">This paper</w:t>
        </w:r>
      </w:hyperlink>
      <w:r>
        <w:t xml:space="preserve"> was released after the first consensus conference in 1991. The goal of this conference was to standardize the use of terms such as “SIRS”, “sepsis”, “severe sepsis”, and “septic shock” to facilitate enrollment of patients in clinical trials.</w:t>
      </w:r>
    </w:p>
    <w:p>
      <w:pPr>
        <w:pStyle w:val="Compact"/>
        <w:numPr>
          <w:ilvl w:val="0"/>
          <w:numId w:val="1010"/>
        </w:numPr>
      </w:pPr>
      <w:r>
        <w:t xml:space="preserve">In 2001, the International Sepsis Definitions Conference expanded on these definitions by adding additional elements such as laboratory data. See</w:t>
      </w:r>
      <w:r>
        <w:t xml:space="preserve"> </w:t>
      </w:r>
      <w:hyperlink r:id="rId27">
        <w:r>
          <w:rPr>
            <w:rStyle w:val="Hyperlink"/>
          </w:rPr>
          <w:t xml:space="preserve">here</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ashingpatient.com/wp-content/pdf/Loma%20Linda%20STOP%20Sepsis%20Bundle.pdf" TargetMode="External" /><Relationship Type="http://schemas.openxmlformats.org/officeDocument/2006/relationships/hyperlink" Id="rId24" Target="https://emcrit.org/" TargetMode="External" /><Relationship Type="http://schemas.openxmlformats.org/officeDocument/2006/relationships/hyperlink" Id="rId22" Target="https://emcrit.org/severe-sepsis-resources/" TargetMode="External" /><Relationship Type="http://schemas.openxmlformats.org/officeDocument/2006/relationships/hyperlink" Id="rId27" Target="https://www.ncbi.nlm.nih.gov/pubmed/12682500" TargetMode="External" /><Relationship Type="http://schemas.openxmlformats.org/officeDocument/2006/relationships/hyperlink" Id="rId26" Target="https://www.ncbi.nlm.nih.gov/pubmed/1303622" TargetMode="External" /></Relationships>
</file>

<file path=word/_rels/footnotes.xml.rels><?xml version="1.0" encoding="UTF-8"?><Relationships xmlns="http://schemas.openxmlformats.org/package/2006/relationships"><Relationship Type="http://schemas.openxmlformats.org/officeDocument/2006/relationships/hyperlink" Id="rId23" Target="https://crashingpatient.com/wp-content/pdf/Loma%20Linda%20STOP%20Sepsis%20Bundle.pdf" TargetMode="External" /><Relationship Type="http://schemas.openxmlformats.org/officeDocument/2006/relationships/hyperlink" Id="rId24" Target="https://emcrit.org/" TargetMode="External" /><Relationship Type="http://schemas.openxmlformats.org/officeDocument/2006/relationships/hyperlink" Id="rId22" Target="https://emcrit.org/severe-sepsis-resources/" TargetMode="External" /><Relationship Type="http://schemas.openxmlformats.org/officeDocument/2006/relationships/hyperlink" Id="rId27" Target="https://www.ncbi.nlm.nih.gov/pubmed/12682500" TargetMode="External" /><Relationship Type="http://schemas.openxmlformats.org/officeDocument/2006/relationships/hyperlink" Id="rId26" Target="https://www.ncbi.nlm.nih.gov/pubmed/13036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2024-07-22T20:04:12Z</dcterms:created>
  <dcterms:modified xsi:type="dcterms:W3CDTF">2024-07-22T20:04:12Z</dcterms:modified>
</cp:coreProperties>
</file>

<file path=docProps/custom.xml><?xml version="1.0" encoding="utf-8"?>
<Properties xmlns="http://schemas.openxmlformats.org/officeDocument/2006/custom-properties" xmlns:vt="http://schemas.openxmlformats.org/officeDocument/2006/docPropsVTypes"/>
</file>