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2b63240237c30bcbca7f0578c2657647842d5e9"/>
    <w:p>
      <w:pPr>
        <w:pStyle w:val="Heading1"/>
      </w:pPr>
      <w:r>
        <w:t xml:space="preserve">Sequential Organ Failure Assessment (SOFA) Score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PaO₂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FiO₂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See</w:t>
            </w:r>
            <w:r>
              <w:rPr>
                <w:i/>
                <w:iCs/>
              </w:rPr>
              <w:t xml:space="preserve"> </w:t>
            </w:r>
            <w:hyperlink w:anchor="evidence">
              <w:r>
                <w:rPr>
                  <w:rStyle w:val="Hyperlink"/>
                  <w:i/>
                  <w:iCs/>
                </w:rPr>
                <w:t xml:space="preserve">Evidence</w:t>
              </w:r>
            </w:hyperlink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for estimating FiO₂ from oxygen flow/delivery rates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On mechanical ventilation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Including CPAP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No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Yes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Platelets, ×10³/µL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≥150 (0)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100-149 (1)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50-99 (2)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20-49 (3)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&lt;20 (4)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Glasgow Coma Scale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If on sedatives, estimate assumed GCS off sedatives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15 (0)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13-14 (1)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10-12 (2)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6-9 (3)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&lt;6 (4)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Bilirubin, mg/dL (μmol/L)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&lt;1.2 (&lt;20) (0)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1.2–1.9 (20-32) (1)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2.0–5.9 (33-101) (2)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6.0–11.9 (102-204) (3)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≥12.0 (&gt;204) (4)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Mean arterial pressure OR administration of vasoactive agents required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Listed doses are in units of mcg/kg/min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No hypotension (0)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MAP &lt;70 mmHg (1)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DOPamine ≤5 or DOBUTamine (any dose) (2)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DOPamine &gt;5, EPINEPHrine ≤0.1, or norEPINEPHrine ≤0.1 (3)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DOPamine &gt;15, EPINEPHrine &gt;0.1, or norEPINEPHrine &gt;0.1 (4)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Creatinine, mg/dL (μmol/L) (or urine output)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&lt;1.2 (&lt;110) (0)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1.2–1.9 (110-170) (1)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2.0–3.4 (171-299) (2)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3.5–4.9 (300-440) or UOP &lt;500 mL/day (3)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≥5.0 (&gt;440) or UOP &lt;200 mL/day (4)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Addition of the selected points: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rPr>
                <w:b/>
                <w:bCs/>
              </w:rPr>
              <w:t xml:space="preserve">Variable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Points</w:t>
            </w:r>
          </w:p>
        </w:tc>
      </w:tr>
      <w:tr>
        <w:tc>
          <w:tcPr>
            <w:gridSpan w:val="2"/>
          </w:tcPr>
          <w:p>
            <w:pPr>
              <w:pStyle w:val="BodyText"/>
            </w:pPr>
            <w:r>
              <w:rPr>
                <w:b/>
                <w:bCs/>
              </w:rPr>
              <w:t xml:space="preserve">PaO</w:t>
            </w:r>
            <w:r>
              <w:rPr>
                <w:b/>
                <w:bCs/>
                <w:vertAlign w:val="subscript"/>
              </w:rPr>
              <w:t xml:space="preserve">2</w:t>
            </w:r>
            <w:r>
              <w:rPr>
                <w:b/>
                <w:bCs/>
              </w:rPr>
              <w:t xml:space="preserve">/FiO</w:t>
            </w:r>
            <w:r>
              <w:rPr>
                <w:b/>
                <w:bCs/>
                <w:vertAlign w:val="subscript"/>
              </w:rPr>
              <w:t xml:space="preserve">2</w:t>
            </w:r>
            <w:r>
              <w:rPr>
                <w:b/>
                <w:bCs/>
              </w:rPr>
              <w:t xml:space="preserve">*, mmHg</w:t>
            </w:r>
          </w:p>
        </w:tc>
      </w:tr>
      <w:tr>
        <w:tc>
          <w:tcPr/>
          <w:p>
            <w:pPr>
              <w:pStyle w:val="BodyText"/>
            </w:pPr>
            <w:r>
              <w:t xml:space="preserve">≥400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300-399</w:t>
            </w:r>
          </w:p>
        </w:tc>
        <w:tc>
          <w:tcPr/>
          <w:p>
            <w:pPr>
              <w:pStyle w:val="BodyText"/>
            </w:pPr>
            <w:r>
              <w:t xml:space="preserve">+1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200-299</w:t>
            </w:r>
          </w:p>
        </w:tc>
        <w:tc>
          <w:tcPr/>
          <w:p>
            <w:pPr>
              <w:pStyle w:val="BodyText"/>
            </w:pPr>
            <w:r>
              <w:t xml:space="preserve">+2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≤199 and NOT mechanically ventilated</w:t>
            </w:r>
          </w:p>
        </w:tc>
        <w:tc>
          <w:tcPr/>
          <w:p>
            <w:pPr>
              <w:pStyle w:val="BodyText"/>
            </w:pPr>
            <w:r>
              <w:t xml:space="preserve">+2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100-199 and mechanically ventilated</w:t>
            </w:r>
          </w:p>
        </w:tc>
        <w:tc>
          <w:tcPr/>
          <w:p>
            <w:pPr>
              <w:pStyle w:val="BodyText"/>
            </w:pPr>
            <w:r>
              <w:t xml:space="preserve">+3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&lt;100 and mechanically ventilated</w:t>
            </w:r>
          </w:p>
        </w:tc>
        <w:tc>
          <w:tcPr/>
          <w:p>
            <w:pPr>
              <w:pStyle w:val="BodyText"/>
            </w:pPr>
            <w:r>
              <w:t xml:space="preserve">+4</w:t>
            </w:r>
          </w:p>
        </w:tc>
      </w:tr>
      <w:tr>
        <w:tc>
          <w:tcPr>
            <w:gridSpan w:val="2"/>
          </w:tcPr>
          <w:p>
            <w:pPr>
              <w:pStyle w:val="BodyText"/>
            </w:pPr>
            <w:r>
              <w:rPr>
                <w:b/>
                <w:bCs/>
              </w:rPr>
              <w:t xml:space="preserve">Platelets, ×10</w:t>
            </w:r>
            <w:r>
              <w:rPr>
                <w:b/>
                <w:bCs/>
                <w:vertAlign w:val="superscript"/>
              </w:rPr>
              <w:t xml:space="preserve">3</w:t>
            </w:r>
            <w:r>
              <w:rPr>
                <w:b/>
                <w:bCs/>
              </w:rPr>
              <w:t xml:space="preserve">/µL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≥150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100-149</w:t>
            </w:r>
          </w:p>
        </w:tc>
        <w:tc>
          <w:tcPr/>
          <w:p>
            <w:pPr>
              <w:pStyle w:val="BodyText"/>
            </w:pPr>
            <w:r>
              <w:t xml:space="preserve">+1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50-99</w:t>
            </w:r>
          </w:p>
        </w:tc>
        <w:tc>
          <w:tcPr/>
          <w:p>
            <w:pPr>
              <w:pStyle w:val="BodyText"/>
            </w:pPr>
            <w:r>
              <w:t xml:space="preserve">+2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20-49</w:t>
            </w:r>
          </w:p>
        </w:tc>
        <w:tc>
          <w:tcPr/>
          <w:p>
            <w:pPr>
              <w:pStyle w:val="BodyText"/>
            </w:pPr>
            <w:r>
              <w:t xml:space="preserve">+3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&lt;20</w:t>
            </w:r>
          </w:p>
        </w:tc>
        <w:tc>
          <w:tcPr/>
          <w:p>
            <w:pPr>
              <w:pStyle w:val="BodyText"/>
            </w:pPr>
            <w:r>
              <w:t xml:space="preserve">+4</w:t>
            </w:r>
          </w:p>
        </w:tc>
      </w:tr>
      <w:tr>
        <w:tc>
          <w:tcPr>
            <w:gridSpan w:val="2"/>
          </w:tcPr>
          <w:p>
            <w:pPr>
              <w:pStyle w:val="BodyText"/>
            </w:pPr>
            <w:r>
              <w:rPr>
                <w:b/>
                <w:bCs/>
              </w:rPr>
              <w:t xml:space="preserve">Glasgow Coma Scale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15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13–14</w:t>
            </w:r>
          </w:p>
        </w:tc>
        <w:tc>
          <w:tcPr/>
          <w:p>
            <w:pPr>
              <w:pStyle w:val="BodyText"/>
            </w:pPr>
            <w:r>
              <w:t xml:space="preserve">+1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10–12</w:t>
            </w:r>
          </w:p>
        </w:tc>
        <w:tc>
          <w:tcPr/>
          <w:p>
            <w:pPr>
              <w:pStyle w:val="BodyText"/>
            </w:pPr>
            <w:r>
              <w:t xml:space="preserve">+2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6–9</w:t>
            </w:r>
          </w:p>
        </w:tc>
        <w:tc>
          <w:tcPr/>
          <w:p>
            <w:pPr>
              <w:pStyle w:val="BodyText"/>
            </w:pPr>
            <w:r>
              <w:t xml:space="preserve">+3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&lt;6</w:t>
            </w:r>
          </w:p>
        </w:tc>
        <w:tc>
          <w:tcPr/>
          <w:p>
            <w:pPr>
              <w:pStyle w:val="BodyText"/>
            </w:pPr>
            <w:r>
              <w:t xml:space="preserve">+4</w:t>
            </w:r>
          </w:p>
        </w:tc>
      </w:tr>
      <w:tr>
        <w:tc>
          <w:tcPr>
            <w:gridSpan w:val="2"/>
          </w:tcPr>
          <w:p>
            <w:pPr>
              <w:pStyle w:val="BodyText"/>
            </w:pPr>
            <w:r>
              <w:rPr>
                <w:b/>
                <w:bCs/>
              </w:rPr>
              <w:t xml:space="preserve">Bilirubin, mg/dL (μmol/L)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&lt;1.2 (&lt;20)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1.2–1.9 (20-32)</w:t>
            </w:r>
          </w:p>
        </w:tc>
        <w:tc>
          <w:tcPr/>
          <w:p>
            <w:pPr>
              <w:pStyle w:val="BodyText"/>
            </w:pPr>
            <w:r>
              <w:t xml:space="preserve">+1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2.0–5.9 (33-101)</w:t>
            </w:r>
          </w:p>
        </w:tc>
        <w:tc>
          <w:tcPr/>
          <w:p>
            <w:pPr>
              <w:pStyle w:val="BodyText"/>
            </w:pPr>
            <w:r>
              <w:t xml:space="preserve">+2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6.0–11.9 (102-204)</w:t>
            </w:r>
          </w:p>
        </w:tc>
        <w:tc>
          <w:tcPr/>
          <w:p>
            <w:pPr>
              <w:pStyle w:val="BodyText"/>
            </w:pPr>
            <w:r>
              <w:t xml:space="preserve">+3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≥12.0 (&gt;204)</w:t>
            </w:r>
          </w:p>
        </w:tc>
        <w:tc>
          <w:tcPr/>
          <w:p>
            <w:pPr>
              <w:pStyle w:val="BodyText"/>
            </w:pPr>
            <w:r>
              <w:t xml:space="preserve">+4</w:t>
            </w:r>
          </w:p>
        </w:tc>
      </w:tr>
      <w:tr>
        <w:tc>
          <w:tcPr>
            <w:gridSpan w:val="2"/>
          </w:tcPr>
          <w:p>
            <w:pPr>
              <w:pStyle w:val="BodyText"/>
            </w:pPr>
            <w:r>
              <w:rPr>
                <w:b/>
                <w:bCs/>
              </w:rPr>
              <w:t xml:space="preserve">Mean arterial pressure OR administration of vasoactive agents required (listed doses are in units of mcg/kg/min)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 hypotension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MAP &lt;70 mmHg</w:t>
            </w:r>
          </w:p>
        </w:tc>
        <w:tc>
          <w:tcPr/>
          <w:p>
            <w:pPr>
              <w:pStyle w:val="BodyText"/>
            </w:pPr>
            <w:r>
              <w:t xml:space="preserve">+1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DOPamine ≤5 or DOBUTamine (any dose)</w:t>
            </w:r>
          </w:p>
        </w:tc>
        <w:tc>
          <w:tcPr/>
          <w:p>
            <w:pPr>
              <w:pStyle w:val="BodyText"/>
            </w:pPr>
            <w:r>
              <w:t xml:space="preserve">+2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DOPamine &gt;5, EPINEPHrine ≤0.1, or norEPINEPHrine ≤0.1</w:t>
            </w:r>
          </w:p>
        </w:tc>
        <w:tc>
          <w:tcPr/>
          <w:p>
            <w:pPr>
              <w:pStyle w:val="BodyText"/>
            </w:pPr>
            <w:r>
              <w:t xml:space="preserve">+3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DOPamine &gt;15, EPINEPHrine &gt;0.1, or norEPINEPHrine &gt;0.1</w:t>
            </w:r>
          </w:p>
        </w:tc>
        <w:tc>
          <w:tcPr/>
          <w:p>
            <w:pPr>
              <w:pStyle w:val="BodyText"/>
            </w:pPr>
            <w:r>
              <w:t xml:space="preserve">+4</w:t>
            </w:r>
          </w:p>
        </w:tc>
      </w:tr>
      <w:tr>
        <w:tc>
          <w:tcPr>
            <w:gridSpan w:val="2"/>
          </w:tcPr>
          <w:p>
            <w:pPr>
              <w:pStyle w:val="BodyText"/>
            </w:pPr>
            <w:r>
              <w:rPr>
                <w:b/>
                <w:bCs/>
              </w:rPr>
              <w:t xml:space="preserve">Creatinine, mg/dL (μmol/L) (or urine output)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&lt;1.2 (&lt;110)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1.2–1.9 (110-170)</w:t>
            </w:r>
          </w:p>
        </w:tc>
        <w:tc>
          <w:tcPr/>
          <w:p>
            <w:pPr>
              <w:pStyle w:val="BodyText"/>
            </w:pPr>
            <w:r>
              <w:t xml:space="preserve">+1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2.0–3.4 (171-299)</w:t>
            </w:r>
          </w:p>
        </w:tc>
        <w:tc>
          <w:tcPr/>
          <w:p>
            <w:pPr>
              <w:pStyle w:val="BodyText"/>
            </w:pPr>
            <w:r>
              <w:t xml:space="preserve">+2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3.5–4.9 (300-440) or UOP &lt;500 mL/day)</w:t>
            </w:r>
          </w:p>
        </w:tc>
        <w:tc>
          <w:tcPr/>
          <w:p>
            <w:pPr>
              <w:pStyle w:val="BodyText"/>
            </w:pPr>
            <w:r>
              <w:t xml:space="preserve">+3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≥5.0 (&gt;440) or UOP &lt;200 mL/day</w:t>
            </w:r>
          </w:p>
        </w:tc>
        <w:tc>
          <w:tcPr/>
          <w:p>
            <w:pPr>
              <w:pStyle w:val="BodyText"/>
            </w:pPr>
            <w:r>
              <w:t xml:space="preserve">+4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*Estimating FiO₂ from oxygen flow/delivery rates: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FirstParagraph"/>
            </w:pPr>
            <w:r>
              <w:rPr>
                <w:b/>
                <w:bCs/>
              </w:rPr>
              <w:t xml:space="preserve">Type of O₂ delivery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Flow rates, L/min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FiO₂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Nasal cannula</w:t>
            </w:r>
          </w:p>
        </w:tc>
        <w:tc>
          <w:tcPr/>
          <w:p>
            <w:pPr>
              <w:pStyle w:val="BodyText"/>
            </w:pPr>
            <w:r>
              <w:t xml:space="preserve">1-6</w:t>
            </w:r>
          </w:p>
        </w:tc>
        <w:tc>
          <w:tcPr/>
          <w:p>
            <w:pPr>
              <w:pStyle w:val="BodyText"/>
            </w:pPr>
            <w:r>
              <w:t xml:space="preserve">~4% FiO₂ added above room air* per 1 L/min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Room air = 21% 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1 L/min = 25%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2 L/min = 29%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3 L/min = 33%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4 L/min = 37%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5 L/min = 41%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6 L/min = 45%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Simple face mask</w:t>
            </w:r>
          </w:p>
        </w:tc>
        <w:tc>
          <w:tcPr/>
          <w:p>
            <w:pPr>
              <w:pStyle w:val="BodyText"/>
            </w:pPr>
            <w:r>
              <w:t xml:space="preserve">~6-12</w:t>
            </w:r>
          </w:p>
        </w:tc>
        <w:tc>
          <w:tcPr/>
          <w:p>
            <w:pPr>
              <w:pStyle w:val="BodyText"/>
            </w:pPr>
            <w:r>
              <w:t xml:space="preserve">35-60%*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Non-rebreather mask</w:t>
            </w:r>
          </w:p>
        </w:tc>
        <w:tc>
          <w:tcPr/>
          <w:p>
            <w:pPr>
              <w:pStyle w:val="BodyText"/>
            </w:pPr>
            <w:r>
              <w:t xml:space="preserve">10-15</w:t>
            </w:r>
          </w:p>
        </w:tc>
        <w:tc>
          <w:tcPr/>
          <w:p>
            <w:pPr>
              <w:pStyle w:val="BodyText"/>
            </w:pPr>
            <w:r>
              <w:t xml:space="preserve">~70-90%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High-flow nasal cannula</w:t>
            </w:r>
          </w:p>
        </w:tc>
        <w:tc>
          <w:tcPr/>
          <w:p>
            <w:pPr>
              <w:pStyle w:val="BodyText"/>
            </w:pPr>
            <w:r>
              <w:t xml:space="preserve">Up to 60</w:t>
            </w:r>
          </w:p>
        </w:tc>
        <w:tc>
          <w:tcPr/>
          <w:p>
            <w:pPr>
              <w:pStyle w:val="BodyText"/>
            </w:pPr>
            <w:r>
              <w:t xml:space="preserve">30-100%</w:t>
            </w:r>
          </w:p>
        </w:tc>
      </w:tr>
    </w:tbl>
    <w:p>
      <w:pPr>
        <w:pStyle w:val="BodyText"/>
      </w:pPr>
      <w:r>
        <w:t xml:space="preserve">*Varies based on respiratory rate and minute ventilation.</w:t>
      </w:r>
    </w:p>
    <w:bookmarkEnd w:id="21"/>
    <w:bookmarkStart w:id="23" w:name="facts-figures"/>
    <w:p>
      <w:pPr>
        <w:pStyle w:val="Heading2"/>
      </w:pPr>
      <w:r>
        <w:t xml:space="preserve">FACTS &amp; FIGURES</w:t>
      </w:r>
    </w:p>
    <w:p>
      <w:pPr>
        <w:pStyle w:val="FirstParagraph"/>
      </w:pPr>
      <w:r>
        <w:t xml:space="preserve">Interpretation: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FirstParagraph"/>
            </w:pPr>
            <w:r>
              <w:rPr>
                <w:b/>
                <w:bCs/>
              </w:rPr>
              <w:t xml:space="preserve">SOFA Score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Mortality if initial score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Mortality if highest score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0-1</w:t>
            </w:r>
          </w:p>
        </w:tc>
        <w:tc>
          <w:tcPr/>
          <w:p>
            <w:pPr>
              <w:pStyle w:val="BodyText"/>
            </w:pPr>
            <w:r>
              <w:t xml:space="preserve">0.0%</w:t>
            </w:r>
          </w:p>
        </w:tc>
        <w:tc>
          <w:tcPr/>
          <w:p>
            <w:pPr>
              <w:pStyle w:val="BodyText"/>
            </w:pPr>
            <w:r>
              <w:t xml:space="preserve">0.0%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2-3</w:t>
            </w:r>
          </w:p>
        </w:tc>
        <w:tc>
          <w:tcPr/>
          <w:p>
            <w:pPr>
              <w:pStyle w:val="BodyText"/>
            </w:pPr>
            <w:r>
              <w:t xml:space="preserve">6.4%</w:t>
            </w:r>
          </w:p>
        </w:tc>
        <w:tc>
          <w:tcPr/>
          <w:p>
            <w:pPr>
              <w:pStyle w:val="BodyText"/>
            </w:pPr>
            <w:r>
              <w:t xml:space="preserve">1.5%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4-5</w:t>
            </w:r>
          </w:p>
        </w:tc>
        <w:tc>
          <w:tcPr/>
          <w:p>
            <w:pPr>
              <w:pStyle w:val="BodyText"/>
            </w:pPr>
            <w:r>
              <w:t xml:space="preserve">20.2%</w:t>
            </w:r>
          </w:p>
        </w:tc>
        <w:tc>
          <w:tcPr/>
          <w:p>
            <w:pPr>
              <w:pStyle w:val="BodyText"/>
            </w:pPr>
            <w:r>
              <w:t xml:space="preserve">6.7%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6-7</w:t>
            </w:r>
          </w:p>
        </w:tc>
        <w:tc>
          <w:tcPr/>
          <w:p>
            <w:pPr>
              <w:pStyle w:val="BodyText"/>
            </w:pPr>
            <w:r>
              <w:t xml:space="preserve">21.5%</w:t>
            </w:r>
          </w:p>
        </w:tc>
        <w:tc>
          <w:tcPr/>
          <w:p>
            <w:pPr>
              <w:pStyle w:val="BodyText"/>
            </w:pPr>
            <w:r>
              <w:t xml:space="preserve">18.2%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8-9</w:t>
            </w:r>
          </w:p>
        </w:tc>
        <w:tc>
          <w:tcPr/>
          <w:p>
            <w:pPr>
              <w:pStyle w:val="BodyText"/>
            </w:pPr>
            <w:r>
              <w:t xml:space="preserve">33.3%</w:t>
            </w:r>
          </w:p>
        </w:tc>
        <w:tc>
          <w:tcPr/>
          <w:p>
            <w:pPr>
              <w:pStyle w:val="BodyText"/>
            </w:pPr>
            <w:r>
              <w:t xml:space="preserve">26.3%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10-11</w:t>
            </w:r>
          </w:p>
        </w:tc>
        <w:tc>
          <w:tcPr/>
          <w:p>
            <w:pPr>
              <w:pStyle w:val="BodyText"/>
            </w:pPr>
            <w:r>
              <w:t xml:space="preserve">50.0%</w:t>
            </w:r>
          </w:p>
        </w:tc>
        <w:tc>
          <w:tcPr/>
          <w:p>
            <w:pPr>
              <w:pStyle w:val="BodyText"/>
            </w:pPr>
            <w:r>
              <w:t xml:space="preserve">45.8%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12-14</w:t>
            </w:r>
          </w:p>
        </w:tc>
        <w:tc>
          <w:tcPr/>
          <w:p>
            <w:pPr>
              <w:pStyle w:val="BodyText"/>
            </w:pPr>
            <w:r>
              <w:t xml:space="preserve">95.2%</w:t>
            </w:r>
          </w:p>
        </w:tc>
        <w:tc>
          <w:tcPr/>
          <w:p>
            <w:pPr>
              <w:pStyle w:val="BodyText"/>
            </w:pPr>
            <w:r>
              <w:t xml:space="preserve">80.0%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&gt;14</w:t>
            </w:r>
          </w:p>
        </w:tc>
        <w:tc>
          <w:tcPr/>
          <w:p>
            <w:pPr>
              <w:pStyle w:val="BodyText"/>
            </w:pPr>
            <w:r>
              <w:t xml:space="preserve">95.2%</w:t>
            </w:r>
          </w:p>
        </w:tc>
        <w:tc>
          <w:tcPr/>
          <w:p>
            <w:pPr>
              <w:pStyle w:val="BodyText"/>
            </w:pPr>
            <w:r>
              <w:t xml:space="preserve">89.7%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rPr>
                <w:b/>
                <w:bCs/>
              </w:rPr>
              <w:t xml:space="preserve">Mean SOFA Score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Mortality</w:t>
            </w:r>
          </w:p>
        </w:tc>
      </w:tr>
      <w:tr>
        <w:tc>
          <w:tcPr/>
          <w:p>
            <w:pPr>
              <w:pStyle w:val="BodyText"/>
            </w:pPr>
            <w:r>
              <w:t xml:space="preserve">0-1.0</w:t>
            </w:r>
          </w:p>
        </w:tc>
        <w:tc>
          <w:tcPr/>
          <w:p>
            <w:pPr>
              <w:pStyle w:val="BodyText"/>
            </w:pPr>
            <w:r>
              <w:t xml:space="preserve">1.2%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1.1-2.0</w:t>
            </w:r>
          </w:p>
        </w:tc>
        <w:tc>
          <w:tcPr/>
          <w:p>
            <w:pPr>
              <w:pStyle w:val="BodyText"/>
            </w:pPr>
            <w:r>
              <w:t xml:space="preserve">5.4%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2.1-3.0</w:t>
            </w:r>
          </w:p>
        </w:tc>
        <w:tc>
          <w:tcPr/>
          <w:p>
            <w:pPr>
              <w:pStyle w:val="BodyText"/>
            </w:pPr>
            <w:r>
              <w:t xml:space="preserve">20.0%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3.1-4.0</w:t>
            </w:r>
          </w:p>
        </w:tc>
        <w:tc>
          <w:tcPr/>
          <w:p>
            <w:pPr>
              <w:pStyle w:val="BodyText"/>
            </w:pPr>
            <w:r>
              <w:t xml:space="preserve">36.1%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4.1-5.0</w:t>
            </w:r>
          </w:p>
        </w:tc>
        <w:tc>
          <w:tcPr/>
          <w:p>
            <w:pPr>
              <w:pStyle w:val="BodyText"/>
            </w:pPr>
            <w:r>
              <w:t xml:space="preserve">73.1%</w:t>
            </w:r>
          </w:p>
        </w:tc>
      </w:tr>
      <w:tr>
        <w:tc>
          <w:tcPr/>
          <w:p>
            <w:pPr>
              <w:pStyle w:val="BodyText"/>
            </w:pPr>
            <w:r>
              <w:t xml:space="preserve">&gt;5.1</w:t>
            </w:r>
          </w:p>
        </w:tc>
        <w:tc>
          <w:tcPr/>
          <w:p>
            <w:pPr>
              <w:pStyle w:val="BodyText"/>
            </w:pPr>
            <w:r>
              <w:t xml:space="preserve">84.4%</w:t>
            </w:r>
          </w:p>
        </w:tc>
      </w:tr>
    </w:tbl>
    <w:p>
      <w:pPr>
        <w:pStyle w:val="BodyText"/>
      </w:pPr>
      <w:r>
        <w:t xml:space="preserve">From</w:t>
      </w:r>
      <w:r>
        <w:t xml:space="preserve"> </w:t>
      </w:r>
      <w:hyperlink r:id="rId22">
        <w:r>
          <w:rPr>
            <w:rStyle w:val="Hyperlink"/>
          </w:rPr>
          <w:t xml:space="preserve">Ferreira 2001</w:t>
        </w:r>
      </w:hyperlink>
      <w:r>
        <w:t xml:space="preserve">.</w:t>
      </w:r>
    </w:p>
    <w:bookmarkEnd w:id="23"/>
    <w:bookmarkStart w:id="26" w:name="evidence-appraisal"/>
    <w:p>
      <w:pPr>
        <w:pStyle w:val="Heading2"/>
      </w:pPr>
      <w:r>
        <w:t xml:space="preserve">EVIDENCE APPRAISAL</w:t>
      </w:r>
    </w:p>
    <w:p>
      <w:pPr>
        <w:pStyle w:val="Compact"/>
        <w:numPr>
          <w:ilvl w:val="0"/>
          <w:numId w:val="1008"/>
        </w:numPr>
      </w:pPr>
      <w:hyperlink r:id="rId24">
        <w:r>
          <w:rPr>
            <w:rStyle w:val="Hyperlink"/>
          </w:rPr>
          <w:t xml:space="preserve">This paper</w:t>
        </w:r>
      </w:hyperlink>
      <w:r>
        <w:t xml:space="preserve"> </w:t>
      </w:r>
      <w:r>
        <w:t xml:space="preserve">describes how the European Society of Intensive Care Medicine selected the SOFA score variables.</w:t>
      </w:r>
    </w:p>
    <w:p>
      <w:pPr>
        <w:pStyle w:val="Compact"/>
        <w:numPr>
          <w:ilvl w:val="0"/>
          <w:numId w:val="1008"/>
        </w:numPr>
      </w:pPr>
      <w:r>
        <w:t xml:space="preserve">In</w:t>
      </w:r>
      <w:r>
        <w:t xml:space="preserve"> </w:t>
      </w:r>
      <w:hyperlink r:id="rId25">
        <w:r>
          <w:rPr>
            <w:rStyle w:val="Hyperlink"/>
          </w:rPr>
          <w:t xml:space="preserve">this validation study</w:t>
        </w:r>
      </w:hyperlink>
      <w:r>
        <w:t xml:space="preserve">, 1,449 patients were enrolled over a period of one month in forty intensive care units (ICUs) in 16 countries. The SOFA score was found to have a good correlation of organ dysfunction/failure in critically ill patients.</w:t>
      </w:r>
    </w:p>
    <w:p>
      <w:pPr>
        <w:pStyle w:val="Compact"/>
        <w:numPr>
          <w:ilvl w:val="0"/>
          <w:numId w:val="1008"/>
        </w:numPr>
      </w:pPr>
      <w:hyperlink r:id="rId22">
        <w:r>
          <w:rPr>
            <w:rStyle w:val="Hyperlink"/>
          </w:rPr>
          <w:t xml:space="preserve">This prospective, observational cohort study</w:t>
        </w:r>
      </w:hyperlink>
      <w:r>
        <w:t xml:space="preserve"> </w:t>
      </w:r>
      <w:r>
        <w:t xml:space="preserve">was performed at a university hospital in Belgium and recruited 352 patients. The SOFA score was again found to be a good indicator of prognosis.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ncbi.nlm.nih.gov/pubmed/11594901" TargetMode="External" /><Relationship Type="http://schemas.openxmlformats.org/officeDocument/2006/relationships/hyperlink" Id="rId24" Target="https://www.ncbi.nlm.nih.gov/pubmed/8844239" TargetMode="External" /><Relationship Type="http://schemas.openxmlformats.org/officeDocument/2006/relationships/hyperlink" Id="rId25" Target="https://www.ncbi.nlm.nih.gov/pubmed/982406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ncbi.nlm.nih.gov/pubmed/11594901" TargetMode="External" /><Relationship Type="http://schemas.openxmlformats.org/officeDocument/2006/relationships/hyperlink" Id="rId24" Target="https://www.ncbi.nlm.nih.gov/pubmed/8844239" TargetMode="External" /><Relationship Type="http://schemas.openxmlformats.org/officeDocument/2006/relationships/hyperlink" Id="rId25" Target="https://www.ncbi.nlm.nih.gov/pubmed/98240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2024-07-22T20:04:23Z</dcterms:created>
  <dcterms:modified xsi:type="dcterms:W3CDTF">2024-07-22T20:04:23Z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