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c53947b0ef3bb47b995b5bf9b3c6c35dfa8a95"/>
    <w:p>
      <w:pPr>
        <w:pStyle w:val="Heading1"/>
      </w:pPr>
      <w:r>
        <w:t xml:space="preserve">STOP-BANG Score for Obstructive Sleep Apnea</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Do you snore loudly?</w:t>
            </w:r>
          </w:p>
          <w:p>
            <w:pPr>
              <w:pStyle w:val="BodyText"/>
            </w:pPr>
            <w:r>
              <w:rPr>
                <w:i/>
                <w:iCs/>
              </w:rPr>
              <w:t xml:space="preserve">Louder than talking or loud enough to be heard through closed doors</w:t>
            </w:r>
          </w:p>
        </w:tc>
        <w:tc>
          <w:tcPr/>
          <w:p>
            <w:pPr>
              <w:pStyle w:val="Compact"/>
            </w:pPr>
            <w:r>
              <w:rPr>
                <w:b/>
                <w:bCs/>
              </w:rPr>
              <w:t xml:space="preserve">Options:</w:t>
            </w:r>
          </w:p>
          <w:p>
            <w:pPr>
              <w:pStyle w:val="Compact"/>
              <w:numPr>
                <w:ilvl w:val="0"/>
                <w:numId w:val="1001"/>
              </w:numPr>
            </w:pPr>
            <w:r>
              <w:t xml:space="preserve">No (0)</w:t>
            </w:r>
          </w:p>
          <w:p>
            <w:pPr>
              <w:pStyle w:val="Compact"/>
              <w:numPr>
                <w:ilvl w:val="0"/>
                <w:numId w:val="1001"/>
              </w:numPr>
            </w:pPr>
            <w:r>
              <w:t xml:space="preserve">Yes (1)</w:t>
            </w:r>
          </w:p>
        </w:tc>
      </w:tr>
      <w:tr>
        <w:tc>
          <w:tcPr/>
          <w:p>
            <w:pPr>
              <w:pStyle w:val="FirstParagraph"/>
            </w:pPr>
            <w:r>
              <w:t xml:space="preserve">Do you often feel tired, fatigued, or sleepy during the daytime?</w:t>
            </w:r>
          </w:p>
          <w:p>
            <w:pPr>
              <w:pStyle w:val="BodyText"/>
            </w:pP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w:t>
            </w:r>
          </w:p>
        </w:tc>
      </w:tr>
      <w:tr>
        <w:tc>
          <w:tcPr/>
          <w:p>
            <w:pPr>
              <w:pStyle w:val="FirstParagraph"/>
            </w:pPr>
            <w:r>
              <w:t xml:space="preserve">Has anyone observed you stop breathing during sleep?</w:t>
            </w:r>
          </w:p>
          <w:p>
            <w:pPr>
              <w:pStyle w:val="BodyText"/>
            </w:pP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(1)</w:t>
            </w:r>
          </w:p>
        </w:tc>
      </w:tr>
      <w:tr>
        <w:tc>
          <w:tcPr/>
          <w:p>
            <w:pPr>
              <w:pStyle w:val="FirstParagraph"/>
            </w:pPr>
            <w:r>
              <w:t xml:space="preserve">Do you have (or are you being treated for) high blood pressure?</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BMI</w:t>
            </w:r>
          </w:p>
          <w:p>
            <w:pPr>
              <w:pStyle w:val="BodyText"/>
            </w:pPr>
          </w:p>
        </w:tc>
        <w:tc>
          <w:tcPr/>
          <w:p>
            <w:pPr>
              <w:pStyle w:val="Compact"/>
            </w:pPr>
            <w:r>
              <w:rPr>
                <w:b/>
                <w:bCs/>
              </w:rPr>
              <w:t xml:space="preserve">Options:</w:t>
            </w:r>
          </w:p>
          <w:p>
            <w:pPr>
              <w:pStyle w:val="Compact"/>
              <w:numPr>
                <w:ilvl w:val="0"/>
                <w:numId w:val="1005"/>
              </w:numPr>
            </w:pPr>
            <w:r>
              <w:t xml:space="preserve">≤35 kg/m² (0)</w:t>
            </w:r>
          </w:p>
          <w:p>
            <w:pPr>
              <w:pStyle w:val="Compact"/>
              <w:numPr>
                <w:ilvl w:val="0"/>
                <w:numId w:val="1005"/>
              </w:numPr>
            </w:pPr>
            <w:r>
              <w:t xml:space="preserve">&gt;35 kg/m² (1)</w:t>
            </w:r>
          </w:p>
        </w:tc>
      </w:tr>
      <w:tr>
        <w:tc>
          <w:tcPr/>
          <w:p>
            <w:pPr>
              <w:pStyle w:val="FirstParagraph"/>
            </w:pPr>
            <w:r>
              <w:t xml:space="preserve">Age</w:t>
            </w:r>
          </w:p>
          <w:p>
            <w:pPr>
              <w:pStyle w:val="BodyText"/>
            </w:pPr>
          </w:p>
        </w:tc>
        <w:tc>
          <w:tcPr/>
          <w:p>
            <w:pPr>
              <w:pStyle w:val="Compact"/>
            </w:pPr>
            <w:r>
              <w:rPr>
                <w:b/>
                <w:bCs/>
              </w:rPr>
              <w:t xml:space="preserve">Options:</w:t>
            </w:r>
          </w:p>
          <w:p>
            <w:pPr>
              <w:pStyle w:val="Compact"/>
              <w:numPr>
                <w:ilvl w:val="0"/>
                <w:numId w:val="1006"/>
              </w:numPr>
            </w:pPr>
            <w:r>
              <w:t xml:space="preserve">≤50 years (0)</w:t>
            </w:r>
          </w:p>
          <w:p>
            <w:pPr>
              <w:pStyle w:val="Compact"/>
              <w:numPr>
                <w:ilvl w:val="0"/>
                <w:numId w:val="1006"/>
              </w:numPr>
            </w:pPr>
            <w:r>
              <w:t xml:space="preserve">&gt;50 years (1)</w:t>
            </w:r>
          </w:p>
        </w:tc>
      </w:tr>
      <w:tr>
        <w:tc>
          <w:tcPr/>
          <w:p>
            <w:pPr>
              <w:pStyle w:val="FirstParagraph"/>
            </w:pPr>
            <w:r>
              <w:t xml:space="preserve">Neck circumference</w:t>
            </w:r>
          </w:p>
          <w:p>
            <w:pPr>
              <w:pStyle w:val="BodyText"/>
            </w:pPr>
          </w:p>
        </w:tc>
        <w:tc>
          <w:tcPr/>
          <w:p>
            <w:pPr>
              <w:pStyle w:val="Compact"/>
            </w:pPr>
            <w:r>
              <w:rPr>
                <w:b/>
                <w:bCs/>
              </w:rPr>
              <w:t xml:space="preserve">Options:</w:t>
            </w:r>
          </w:p>
          <w:p>
            <w:pPr>
              <w:pStyle w:val="Compact"/>
              <w:numPr>
                <w:ilvl w:val="0"/>
                <w:numId w:val="1007"/>
              </w:numPr>
            </w:pPr>
            <w:r>
              <w:t xml:space="preserve">≤40 cm (0)</w:t>
            </w:r>
          </w:p>
          <w:p>
            <w:pPr>
              <w:pStyle w:val="Compact"/>
              <w:numPr>
                <w:ilvl w:val="0"/>
                <w:numId w:val="1007"/>
              </w:numPr>
            </w:pPr>
            <w:r>
              <w:t xml:space="preserve">&gt;40 cm (1)</w:t>
            </w:r>
          </w:p>
        </w:tc>
      </w:tr>
      <w:tr>
        <w:tc>
          <w:tcPr/>
          <w:p>
            <w:pPr>
              <w:pStyle w:val="FirstParagraph"/>
            </w:pPr>
            <w:r>
              <w:t xml:space="preserve">Gender</w:t>
            </w:r>
          </w:p>
          <w:p>
            <w:pPr>
              <w:pStyle w:val="BodyText"/>
            </w:pPr>
          </w:p>
        </w:tc>
        <w:tc>
          <w:tcPr/>
          <w:p>
            <w:pPr>
              <w:pStyle w:val="Compact"/>
            </w:pPr>
            <w:r>
              <w:rPr>
                <w:b/>
                <w:bCs/>
              </w:rPr>
              <w:t xml:space="preserve">Options:</w:t>
            </w:r>
          </w:p>
          <w:p>
            <w:pPr>
              <w:pStyle w:val="Compact"/>
              <w:numPr>
                <w:ilvl w:val="0"/>
                <w:numId w:val="1008"/>
              </w:numPr>
            </w:pPr>
            <w:r>
              <w:t xml:space="preserve">Female (0)</w:t>
            </w:r>
          </w:p>
          <w:p>
            <w:pPr>
              <w:pStyle w:val="Compact"/>
              <w:numPr>
                <w:ilvl w:val="0"/>
                <w:numId w:val="1008"/>
              </w:numPr>
            </w:pPr>
            <w:r>
              <w:t xml:space="preserve">Male (1)</w:t>
            </w:r>
          </w:p>
        </w:tc>
      </w:tr>
    </w:tbl>
    <w:bookmarkEnd w:id="20"/>
    <w:bookmarkStart w:id="21" w:name="formula"/>
    <w:p>
      <w:pPr>
        <w:pStyle w:val="Heading2"/>
      </w:pPr>
      <w:r>
        <w:t xml:space="preserve">FORMULA</w:t>
      </w:r>
    </w:p>
    <w:p>
      <w:pPr>
        <w:pStyle w:val="FirstParagraph"/>
      </w:pPr>
      <w:r>
        <w:t xml:space="preserve">Addition of the selected points (for the first four, ask the patient):</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 </w:t>
            </w:r>
          </w:p>
        </w:tc>
        <w:tc>
          <w:tcPr/>
          <w:p>
            <w:pPr>
              <w:pStyle w:val="BodyText"/>
            </w:pPr>
            <w:r>
              <w:rPr>
                <w:b/>
                <w:bCs/>
              </w:rPr>
              <w:t xml:space="preserve">0 points</w:t>
            </w:r>
          </w:p>
        </w:tc>
        <w:tc>
          <w:tcPr/>
          <w:p>
            <w:pPr>
              <w:pStyle w:val="BodyText"/>
            </w:pPr>
            <w:r>
              <w:rPr>
                <w:b/>
                <w:bCs/>
              </w:rPr>
              <w:t xml:space="preserve">1 point</w:t>
            </w:r>
          </w:p>
        </w:tc>
      </w:tr>
      <w:tr>
        <w:tc>
          <w:tcPr/>
          <w:p>
            <w:pPr>
              <w:pStyle w:val="BodyText"/>
            </w:pPr>
            <w:r>
              <w:t xml:space="preserve">Do you snore loudly? (Louder than talking or loud enough to be heard through closed doors)</w:t>
            </w:r>
          </w:p>
        </w:tc>
        <w:tc>
          <w:tcPr/>
          <w:p>
            <w:pPr>
              <w:pStyle w:val="BodyText"/>
            </w:pPr>
            <w:r>
              <w:t xml:space="preserve">No</w:t>
            </w:r>
          </w:p>
        </w:tc>
        <w:tc>
          <w:tcPr/>
          <w:p>
            <w:pPr>
              <w:pStyle w:val="BodyText"/>
            </w:pPr>
            <w:r>
              <w:t xml:space="preserve">Yes</w:t>
            </w:r>
          </w:p>
        </w:tc>
      </w:tr>
      <w:tr>
        <w:tc>
          <w:tcPr/>
          <w:p>
            <w:pPr>
              <w:pStyle w:val="BodyText"/>
            </w:pPr>
            <w:r>
              <w:t xml:space="preserve">Do you often feel tired, fatigued, or sleepy during the daytime?</w:t>
            </w:r>
          </w:p>
        </w:tc>
        <w:tc>
          <w:tcPr/>
          <w:p>
            <w:pPr>
              <w:pStyle w:val="BodyText"/>
            </w:pPr>
            <w:r>
              <w:t xml:space="preserve">No</w:t>
            </w:r>
          </w:p>
        </w:tc>
        <w:tc>
          <w:tcPr/>
          <w:p>
            <w:pPr>
              <w:pStyle w:val="BodyText"/>
            </w:pPr>
            <w:r>
              <w:t xml:space="preserve">Yes</w:t>
            </w:r>
          </w:p>
        </w:tc>
      </w:tr>
      <w:tr>
        <w:tc>
          <w:tcPr/>
          <w:p>
            <w:pPr>
              <w:pStyle w:val="BodyText"/>
            </w:pPr>
            <w:r>
              <w:t xml:space="preserve">Has anyone observed you stop breathing during sleep?</w:t>
            </w:r>
          </w:p>
        </w:tc>
        <w:tc>
          <w:tcPr/>
          <w:p>
            <w:pPr>
              <w:pStyle w:val="BodyText"/>
            </w:pPr>
            <w:r>
              <w:t xml:space="preserve">No</w:t>
            </w:r>
          </w:p>
        </w:tc>
        <w:tc>
          <w:tcPr/>
          <w:p>
            <w:pPr>
              <w:pStyle w:val="BodyText"/>
            </w:pPr>
            <w:r>
              <w:t xml:space="preserve">Yes</w:t>
            </w:r>
          </w:p>
        </w:tc>
      </w:tr>
      <w:tr>
        <w:tc>
          <w:tcPr/>
          <w:p>
            <w:pPr>
              <w:pStyle w:val="BodyText"/>
            </w:pPr>
            <w:r>
              <w:t xml:space="preserve">Do you have (or are you being treated for) high blood pressure?</w:t>
            </w:r>
          </w:p>
        </w:tc>
        <w:tc>
          <w:tcPr/>
          <w:p>
            <w:pPr>
              <w:pStyle w:val="BodyText"/>
            </w:pPr>
            <w:r>
              <w:t xml:space="preserve">No</w:t>
            </w:r>
          </w:p>
        </w:tc>
        <w:tc>
          <w:tcPr/>
          <w:p>
            <w:pPr>
              <w:pStyle w:val="BodyText"/>
            </w:pPr>
            <w:r>
              <w:t xml:space="preserve">Yes</w:t>
            </w:r>
          </w:p>
        </w:tc>
      </w:tr>
      <w:tr>
        <w:tc>
          <w:tcPr/>
          <w:p>
            <w:pPr>
              <w:pStyle w:val="BodyText"/>
            </w:pPr>
            <w:r>
              <w:t xml:space="preserve">BMI</w:t>
            </w:r>
          </w:p>
        </w:tc>
        <w:tc>
          <w:tcPr/>
          <w:p>
            <w:pPr>
              <w:pStyle w:val="BodyText"/>
            </w:pPr>
            <w:r>
              <w:t xml:space="preserve">≤35 kg/m</w:t>
            </w:r>
            <w:r>
              <w:rPr>
                <w:vertAlign w:val="superscript"/>
              </w:rPr>
              <w:t xml:space="preserve">2</w:t>
            </w:r>
          </w:p>
        </w:tc>
        <w:tc>
          <w:tcPr/>
          <w:p>
            <w:pPr>
              <w:pStyle w:val="BodyText"/>
            </w:pPr>
            <w:r>
              <w:t xml:space="preserve">&gt;35 kg/m</w:t>
            </w:r>
            <w:r>
              <w:rPr>
                <w:vertAlign w:val="superscript"/>
              </w:rPr>
              <w:t xml:space="preserve">2</w:t>
            </w:r>
          </w:p>
        </w:tc>
      </w:tr>
      <w:tr>
        <w:tc>
          <w:tcPr/>
          <w:p>
            <w:pPr>
              <w:pStyle w:val="BodyText"/>
            </w:pPr>
            <w:r>
              <w:t xml:space="preserve">Age</w:t>
            </w:r>
          </w:p>
        </w:tc>
        <w:tc>
          <w:tcPr/>
          <w:p>
            <w:pPr>
              <w:pStyle w:val="BodyText"/>
            </w:pPr>
            <w:r>
              <w:t xml:space="preserve">≤50 years</w:t>
            </w:r>
          </w:p>
        </w:tc>
        <w:tc>
          <w:tcPr/>
          <w:p>
            <w:pPr>
              <w:pStyle w:val="BodyText"/>
            </w:pPr>
            <w:r>
              <w:t xml:space="preserve">&gt;50 years</w:t>
            </w:r>
          </w:p>
        </w:tc>
      </w:tr>
      <w:tr>
        <w:tc>
          <w:tcPr/>
          <w:p>
            <w:pPr>
              <w:pStyle w:val="BodyText"/>
            </w:pPr>
            <w:r>
              <w:t xml:space="preserve">Neck circumference</w:t>
            </w:r>
          </w:p>
        </w:tc>
        <w:tc>
          <w:tcPr/>
          <w:p>
            <w:pPr>
              <w:pStyle w:val="BodyText"/>
            </w:pPr>
            <w:r>
              <w:t xml:space="preserve">≤40 cm</w:t>
            </w:r>
          </w:p>
        </w:tc>
        <w:tc>
          <w:tcPr/>
          <w:p>
            <w:pPr>
              <w:pStyle w:val="BodyText"/>
            </w:pPr>
            <w:r>
              <w:t xml:space="preserve">&gt;40 cm</w:t>
            </w:r>
          </w:p>
        </w:tc>
      </w:tr>
      <w:tr>
        <w:tc>
          <w:tcPr/>
          <w:p>
            <w:pPr>
              <w:pStyle w:val="BodyText"/>
            </w:pPr>
            <w:r>
              <w:t xml:space="preserve">Gender</w:t>
            </w:r>
          </w:p>
        </w:tc>
        <w:tc>
          <w:tcPr/>
          <w:p>
            <w:pPr>
              <w:pStyle w:val="BodyText"/>
            </w:pPr>
            <w:r>
              <w:t xml:space="preserve">Female</w:t>
            </w:r>
          </w:p>
        </w:tc>
        <w:tc>
          <w:tcPr/>
          <w:p>
            <w:pPr>
              <w:pStyle w:val="BodyText"/>
            </w:pPr>
            <w:r>
              <w:t xml:space="preserve">Male</w:t>
            </w:r>
          </w:p>
        </w:tc>
      </w:tr>
    </w:tbl>
    <w:bookmarkEnd w:id="21"/>
    <w:bookmarkStart w:id="22" w:name="facts-figures"/>
    <w:p>
      <w:pPr>
        <w:pStyle w:val="Heading2"/>
      </w:pPr>
      <w:r>
        <w:t xml:space="preserve">FACTS &amp; FIGURES</w:t>
      </w:r>
    </w:p>
    <w:p>
      <w:pPr>
        <w:pStyle w:val="FirstParagraph"/>
      </w:pPr>
      <w:r>
        <w:t xml:space="preserve">Interpretation:</w:t>
      </w:r>
    </w:p>
    <w:tbl>
      <w:tblPr>
        <w:tblStyle w:val="Table"/>
        <w:tblW w:type="auto" w:w="0"/>
        <w:tblLook w:firstRow="0" w:lastRow="0" w:firstColumn="0" w:lastColumn="0" w:noHBand="0" w:noVBand="0" w:val="0000"/>
      </w:tblPr>
      <w:tblGrid>
        <w:gridCol w:w="3960"/>
        <w:gridCol w:w="3960"/>
      </w:tblGrid>
      <w:tr>
        <w:tc>
          <w:tcPr/>
          <w:p>
            <w:pPr>
              <w:pStyle w:val="Compact"/>
            </w:pPr>
            <w:r>
              <w:rPr>
                <w:b/>
                <w:bCs/>
              </w:rPr>
              <w:t xml:space="preserve">STOP-BANG</w:t>
            </w:r>
          </w:p>
        </w:tc>
        <w:tc>
          <w:tcPr/>
          <w:p>
            <w:pPr>
              <w:pStyle w:val="Compact"/>
            </w:pPr>
            <w:r>
              <w:rPr>
                <w:b/>
                <w:bCs/>
              </w:rPr>
              <w:t xml:space="preserve">Risk</w:t>
            </w:r>
          </w:p>
        </w:tc>
      </w:tr>
      <w:tr>
        <w:tc>
          <w:tcPr/>
          <w:p>
            <w:pPr>
              <w:pStyle w:val="Compact"/>
            </w:pPr>
            <w:r>
              <w:t xml:space="preserve">0-2</w:t>
            </w:r>
          </w:p>
        </w:tc>
        <w:tc>
          <w:tcPr/>
          <w:p>
            <w:pPr>
              <w:pStyle w:val="Compact"/>
            </w:pPr>
            <w:r>
              <w:t xml:space="preserve">Low risk for moderate to severe OSA</w:t>
            </w:r>
          </w:p>
        </w:tc>
      </w:tr>
      <w:tr>
        <w:tc>
          <w:tcPr/>
          <w:p>
            <w:pPr>
              <w:pStyle w:val="Compact"/>
            </w:pPr>
            <w:r>
              <w:t xml:space="preserve">3-4</w:t>
            </w:r>
          </w:p>
        </w:tc>
        <w:tc>
          <w:tcPr/>
          <w:p>
            <w:pPr>
              <w:pStyle w:val="Compact"/>
            </w:pPr>
            <w:r>
              <w:t xml:space="preserve">Intermediate risk for moderate to severe OSA</w:t>
            </w:r>
          </w:p>
        </w:tc>
      </w:tr>
      <w:tr>
        <w:tc>
          <w:tcPr/>
          <w:p>
            <w:pPr>
              <w:pStyle w:val="Compact"/>
            </w:pPr>
            <w:r>
              <w:t xml:space="preserve">5-8</w:t>
            </w:r>
          </w:p>
        </w:tc>
        <w:tc>
          <w:tcPr/>
          <w:p>
            <w:pPr>
              <w:pStyle w:val="Compact"/>
            </w:pPr>
            <w:r>
              <w:t xml:space="preserve">High risk for moderate to severe OSA</w:t>
            </w:r>
          </w:p>
        </w:tc>
      </w:tr>
    </w:tbl>
    <w:bookmarkEnd w:id="22"/>
    <w:bookmarkStart w:id="32" w:name="evidence-appraisal"/>
    <w:p>
      <w:pPr>
        <w:pStyle w:val="Heading2"/>
      </w:pPr>
      <w:r>
        <w:t xml:space="preserve">EVIDENCE APPRAISAL</w:t>
      </w:r>
    </w:p>
    <w:p>
      <w:pPr>
        <w:pStyle w:val="FirstParagraph"/>
      </w:pPr>
      <w:r>
        <w:t xml:space="preserve">The STOP-BANG questionnaire was originally developed by</w:t>
      </w:r>
      <w:r>
        <w:t xml:space="preserve"> </w:t>
      </w:r>
      <w:hyperlink r:id="rId23">
        <w:r>
          <w:rPr>
            <w:rStyle w:val="Hyperlink"/>
          </w:rPr>
          <w:t xml:space="preserve">Chung et al in 2008</w:t>
        </w:r>
      </w:hyperlink>
      <w:r>
        <w:t xml:space="preserve">. The focus of this seminal paper is on the STOP questions in preoperative patients. However, appendix two is the STOP-BANG questionnaire which includes four objective assessments alongside of the four STOP questions. By including the BANG assessments with the STOP questions, the authors increased the sensitivity and negative predictive value of the screening test.  </w:t>
      </w:r>
    </w:p>
    <w:p>
      <w:pPr>
        <w:pStyle w:val="BodyText"/>
      </w:pPr>
      <w:r>
        <w:t xml:space="preserve">STOP-BANG has been studied and validated in multiple settings: </w:t>
      </w:r>
    </w:p>
    <w:p>
      <w:pPr>
        <w:pStyle w:val="BodyText"/>
      </w:pPr>
      <w:hyperlink r:id="rId24">
        <w:r>
          <w:rPr>
            <w:rStyle w:val="Hyperlink"/>
          </w:rPr>
          <w:t xml:space="preserve">Xará 2015</w:t>
        </w:r>
      </w:hyperlink>
      <w:r>
        <w:t xml:space="preserve">: High-risk OSA patients (&gt;3 on STOP-BANG) have a greater incidence of postoperative respiratory complications including inability to breathe deeply and episodes of desaturation. </w:t>
      </w:r>
    </w:p>
    <w:p>
      <w:pPr>
        <w:pStyle w:val="BodyText"/>
      </w:pPr>
      <w:hyperlink r:id="rId25">
        <w:r>
          <w:rPr>
            <w:rStyle w:val="Hyperlink"/>
          </w:rPr>
          <w:t xml:space="preserve">Uchôa 2015</w:t>
        </w:r>
      </w:hyperlink>
      <w:r>
        <w:t xml:space="preserve">: OSA is independently associated with an increase in major adverse cardiac and cardiovascular events following coronary bypass graft surgery. </w:t>
      </w:r>
    </w:p>
    <w:p>
      <w:pPr>
        <w:pStyle w:val="BodyText"/>
      </w:pPr>
      <w:hyperlink r:id="rId26">
        <w:r>
          <w:rPr>
            <w:rStyle w:val="Hyperlink"/>
          </w:rPr>
          <w:t xml:space="preserve">Tan 2016</w:t>
        </w:r>
      </w:hyperlink>
      <w:r>
        <w:t xml:space="preserve">,</w:t>
      </w:r>
      <w:r>
        <w:t xml:space="preserve"> </w:t>
      </w:r>
      <w:hyperlink r:id="rId27">
        <w:r>
          <w:rPr>
            <w:rStyle w:val="Hyperlink"/>
          </w:rPr>
          <w:t xml:space="preserve">Nagappa 2015</w:t>
        </w:r>
      </w:hyperlink>
      <w:r>
        <w:t xml:space="preserve">: While initially developed for preoperative patients, STOP-BANG is an effective screen for the general population. </w:t>
      </w:r>
    </w:p>
    <w:p>
      <w:pPr>
        <w:pStyle w:val="BodyText"/>
      </w:pPr>
      <w:r>
        <w:t xml:space="preserve">The STOP-BANG questionnaire has been translated to and validated in multiple languages including</w:t>
      </w:r>
      <w:r>
        <w:t xml:space="preserve"> </w:t>
      </w:r>
      <w:hyperlink r:id="rId28">
        <w:r>
          <w:rPr>
            <w:rStyle w:val="Hyperlink"/>
          </w:rPr>
          <w:t xml:space="preserve">Arabic</w:t>
        </w:r>
      </w:hyperlink>
      <w:r>
        <w:t xml:space="preserve">,</w:t>
      </w:r>
      <w:r>
        <w:t xml:space="preserve"> </w:t>
      </w:r>
      <w:hyperlink r:id="rId29">
        <w:r>
          <w:rPr>
            <w:rStyle w:val="Hyperlink"/>
          </w:rPr>
          <w:t xml:space="preserve">Portuguese</w:t>
        </w:r>
      </w:hyperlink>
      <w:r>
        <w:t xml:space="preserve">,</w:t>
      </w:r>
      <w:r>
        <w:t xml:space="preserve"> </w:t>
      </w:r>
      <w:hyperlink r:id="rId30">
        <w:r>
          <w:rPr>
            <w:rStyle w:val="Hyperlink"/>
          </w:rPr>
          <w:t xml:space="preserve">Chinese</w:t>
        </w:r>
      </w:hyperlink>
      <w:r>
        <w:t xml:space="preserve">, and</w:t>
      </w:r>
      <w:r>
        <w:t xml:space="preserve"> </w:t>
      </w:r>
      <w:hyperlink r:id="rId31">
        <w:r>
          <w:rPr>
            <w:rStyle w:val="Hyperlink"/>
          </w:rPr>
          <w:t xml:space="preserve">Danish</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ncbi.nlm.nih.gov/pubmed/18431116" TargetMode="External" /><Relationship Type="http://schemas.openxmlformats.org/officeDocument/2006/relationships/hyperlink" Id="rId30" Target="https://www.ncbi.nlm.nih.gov/pubmed/25182345" TargetMode="External" /><Relationship Type="http://schemas.openxmlformats.org/officeDocument/2006/relationships/hyperlink" Id="rId25" Target="https://www.ncbi.nlm.nih.gov/pubmed/25612013" TargetMode="External" /><Relationship Type="http://schemas.openxmlformats.org/officeDocument/2006/relationships/hyperlink" Id="rId28" Target="https://www.ncbi.nlm.nih.gov/pubmed/25758298" TargetMode="External" /><Relationship Type="http://schemas.openxmlformats.org/officeDocument/2006/relationships/hyperlink" Id="rId24" Target="https://www.ncbi.nlm.nih.gov/pubmed/26323734" TargetMode="External" /><Relationship Type="http://schemas.openxmlformats.org/officeDocument/2006/relationships/hyperlink" Id="rId31" Target="https://www.ncbi.nlm.nih.gov/pubmed/26621392" TargetMode="External" /><Relationship Type="http://schemas.openxmlformats.org/officeDocument/2006/relationships/hyperlink" Id="rId27" Target="https://www.ncbi.nlm.nih.gov/pubmed/26658438" TargetMode="External" /><Relationship Type="http://schemas.openxmlformats.org/officeDocument/2006/relationships/hyperlink" Id="rId29" Target="https://www.ncbi.nlm.nih.gov/pubmed/27832234" TargetMode="External" /><Relationship Type="http://schemas.openxmlformats.org/officeDocument/2006/relationships/hyperlink" Id="rId26" Target="https://www.ncbi.nlm.nih.gov/pubmed/27938922" TargetMode="External" /></Relationships>
</file>

<file path=word/_rels/footnotes.xml.rels><?xml version="1.0" encoding="UTF-8"?><Relationships xmlns="http://schemas.openxmlformats.org/package/2006/relationships"><Relationship Type="http://schemas.openxmlformats.org/officeDocument/2006/relationships/hyperlink" Id="rId23" Target="https://www.ncbi.nlm.nih.gov/pubmed/18431116" TargetMode="External" /><Relationship Type="http://schemas.openxmlformats.org/officeDocument/2006/relationships/hyperlink" Id="rId30" Target="https://www.ncbi.nlm.nih.gov/pubmed/25182345" TargetMode="External" /><Relationship Type="http://schemas.openxmlformats.org/officeDocument/2006/relationships/hyperlink" Id="rId25" Target="https://www.ncbi.nlm.nih.gov/pubmed/25612013" TargetMode="External" /><Relationship Type="http://schemas.openxmlformats.org/officeDocument/2006/relationships/hyperlink" Id="rId28" Target="https://www.ncbi.nlm.nih.gov/pubmed/25758298" TargetMode="External" /><Relationship Type="http://schemas.openxmlformats.org/officeDocument/2006/relationships/hyperlink" Id="rId24" Target="https://www.ncbi.nlm.nih.gov/pubmed/26323734" TargetMode="External" /><Relationship Type="http://schemas.openxmlformats.org/officeDocument/2006/relationships/hyperlink" Id="rId31" Target="https://www.ncbi.nlm.nih.gov/pubmed/26621392" TargetMode="External" /><Relationship Type="http://schemas.openxmlformats.org/officeDocument/2006/relationships/hyperlink" Id="rId27" Target="https://www.ncbi.nlm.nih.gov/pubmed/26658438" TargetMode="External" /><Relationship Type="http://schemas.openxmlformats.org/officeDocument/2006/relationships/hyperlink" Id="rId29" Target="https://www.ncbi.nlm.nih.gov/pubmed/27832234" TargetMode="External" /><Relationship Type="http://schemas.openxmlformats.org/officeDocument/2006/relationships/hyperlink" Id="rId26" Target="https://www.ncbi.nlm.nih.gov/pubmed/279389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2024-07-22T20:04:26Z</dcterms:created>
  <dcterms:modified xsi:type="dcterms:W3CDTF">2024-07-22T20:04:26Z</dcterms:modified>
</cp:coreProperties>
</file>

<file path=docProps/custom.xml><?xml version="1.0" encoding="utf-8"?>
<Properties xmlns="http://schemas.openxmlformats.org/officeDocument/2006/custom-properties" xmlns:vt="http://schemas.openxmlformats.org/officeDocument/2006/docPropsVTypes"/>
</file>