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wells-criteria-for-dvt"/>
    <w:p>
      <w:pPr>
        <w:pStyle w:val="Heading1"/>
      </w:pPr>
      <w:r>
        <w:t xml:space="preserve">Wells' Criteria for DVT</w:t>
      </w:r>
    </w:p>
    <w:bookmarkStart w:id="20" w:name="inputs"/>
    <w:p>
      <w:pPr>
        <w:pStyle w:val="Heading2"/>
      </w:pPr>
      <w:r>
        <w:t xml:space="preserve">INPUTS</w:t>
      </w:r>
    </w:p>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Active cancer</w:t>
            </w:r>
          </w:p>
          <w:p>
            <w:pPr>
              <w:pStyle w:val="BodyText"/>
            </w:pPr>
            <w:r>
              <w:rPr>
                <w:i/>
                <w:iCs/>
              </w:rPr>
              <w:t xml:space="preserve">Treatment or palliation within 6 months</w:t>
            </w:r>
          </w:p>
        </w:tc>
        <w:tc>
          <w:tcPr/>
          <w:p>
            <w:pPr>
              <w:pStyle w:val="Compact"/>
            </w:pPr>
            <w:r>
              <w:rPr>
                <w:b/>
                <w:bCs/>
              </w:rPr>
              <w:t xml:space="preserve">Options:</w:t>
            </w:r>
          </w:p>
          <w:p>
            <w:pPr>
              <w:pStyle w:val="Compact"/>
              <w:numPr>
                <w:ilvl w:val="0"/>
                <w:numId w:val="1001"/>
              </w:numPr>
            </w:pPr>
            <w:r>
              <w:t xml:space="preserve">No (0)</w:t>
            </w:r>
          </w:p>
          <w:p>
            <w:pPr>
              <w:pStyle w:val="Compact"/>
              <w:numPr>
                <w:ilvl w:val="0"/>
                <w:numId w:val="1001"/>
              </w:numPr>
            </w:pPr>
            <w:r>
              <w:t xml:space="preserve">Yes (1)</w:t>
            </w:r>
          </w:p>
        </w:tc>
      </w:tr>
      <w:tr>
        <w:tc>
          <w:tcPr/>
          <w:p>
            <w:pPr>
              <w:pStyle w:val="FirstParagraph"/>
            </w:pPr>
            <w:r>
              <w:t xml:space="preserve">Bedridden recently &gt;3 days or major surgery within 12 weeks</w:t>
            </w:r>
          </w:p>
          <w:p>
            <w:pPr>
              <w:pStyle w:val="BodyText"/>
            </w:pPr>
          </w:p>
        </w:tc>
        <w:tc>
          <w:tcPr/>
          <w:p>
            <w:pPr>
              <w:pStyle w:val="Compact"/>
            </w:pPr>
            <w:r>
              <w:rPr>
                <w:b/>
                <w:bCs/>
              </w:rPr>
              <w:t xml:space="preserve">Options:</w:t>
            </w:r>
          </w:p>
          <w:p>
            <w:pPr>
              <w:pStyle w:val="Compact"/>
              <w:numPr>
                <w:ilvl w:val="0"/>
                <w:numId w:val="1002"/>
              </w:numPr>
            </w:pPr>
            <w:r>
              <w:t xml:space="preserve">No (0)</w:t>
            </w:r>
          </w:p>
          <w:p>
            <w:pPr>
              <w:pStyle w:val="Compact"/>
              <w:numPr>
                <w:ilvl w:val="0"/>
                <w:numId w:val="1002"/>
              </w:numPr>
            </w:pPr>
            <w:r>
              <w:t xml:space="preserve">Yes (1)</w:t>
            </w:r>
          </w:p>
        </w:tc>
      </w:tr>
      <w:tr>
        <w:tc>
          <w:tcPr/>
          <w:p>
            <w:pPr>
              <w:pStyle w:val="FirstParagraph"/>
            </w:pPr>
            <w:r>
              <w:t xml:space="preserve">Calf swelling &gt;3 cm compared to the other leg</w:t>
            </w:r>
          </w:p>
          <w:p>
            <w:pPr>
              <w:pStyle w:val="BodyText"/>
            </w:pPr>
            <w:r>
              <w:rPr>
                <w:i/>
                <w:iCs/>
              </w:rPr>
              <w:t xml:space="preserve">Measured 10 cm below tibial tuberosity</w:t>
            </w:r>
          </w:p>
        </w:tc>
        <w:tc>
          <w:tcPr/>
          <w:p>
            <w:pPr>
              <w:pStyle w:val="Compact"/>
            </w:pPr>
            <w:r>
              <w:rPr>
                <w:b/>
                <w:bCs/>
              </w:rPr>
              <w:t xml:space="preserve">Options:</w:t>
            </w:r>
          </w:p>
          <w:p>
            <w:pPr>
              <w:pStyle w:val="Compact"/>
              <w:numPr>
                <w:ilvl w:val="0"/>
                <w:numId w:val="1003"/>
              </w:numPr>
            </w:pPr>
            <w:r>
              <w:t xml:space="preserve">No (0)</w:t>
            </w:r>
          </w:p>
          <w:p>
            <w:pPr>
              <w:pStyle w:val="Compact"/>
              <w:numPr>
                <w:ilvl w:val="0"/>
                <w:numId w:val="1003"/>
              </w:numPr>
            </w:pPr>
            <w:r>
              <w:t xml:space="preserve">Yes (1)</w:t>
            </w:r>
          </w:p>
        </w:tc>
      </w:tr>
      <w:tr>
        <w:tc>
          <w:tcPr/>
          <w:p>
            <w:pPr>
              <w:pStyle w:val="FirstParagraph"/>
            </w:pPr>
            <w:r>
              <w:t xml:space="preserve">Collateral (nonvaricose) superficial veins present</w:t>
            </w:r>
          </w:p>
          <w:p>
            <w:pPr>
              <w:pStyle w:val="BodyText"/>
            </w:pPr>
          </w:p>
        </w:tc>
        <w:tc>
          <w:tcPr/>
          <w:p>
            <w:pPr>
              <w:pStyle w:val="Compact"/>
            </w:pPr>
            <w:r>
              <w:rPr>
                <w:b/>
                <w:bCs/>
              </w:rPr>
              <w:t xml:space="preserve">Options:</w:t>
            </w:r>
          </w:p>
          <w:p>
            <w:pPr>
              <w:pStyle w:val="Compact"/>
              <w:numPr>
                <w:ilvl w:val="0"/>
                <w:numId w:val="1004"/>
              </w:numPr>
            </w:pPr>
            <w:r>
              <w:t xml:space="preserve">No (0)</w:t>
            </w:r>
          </w:p>
          <w:p>
            <w:pPr>
              <w:pStyle w:val="Compact"/>
              <w:numPr>
                <w:ilvl w:val="0"/>
                <w:numId w:val="1004"/>
              </w:numPr>
            </w:pPr>
            <w:r>
              <w:t xml:space="preserve">Yes (1)</w:t>
            </w:r>
          </w:p>
        </w:tc>
      </w:tr>
      <w:tr>
        <w:tc>
          <w:tcPr/>
          <w:p>
            <w:pPr>
              <w:pStyle w:val="FirstParagraph"/>
            </w:pPr>
            <w:r>
              <w:t xml:space="preserve">Entire leg swollen</w:t>
            </w:r>
          </w:p>
          <w:p>
            <w:pPr>
              <w:pStyle w:val="BodyText"/>
            </w:pPr>
          </w:p>
        </w:tc>
        <w:tc>
          <w:tcPr/>
          <w:p>
            <w:pPr>
              <w:pStyle w:val="Compact"/>
            </w:pPr>
            <w:r>
              <w:rPr>
                <w:b/>
                <w:bCs/>
              </w:rPr>
              <w:t xml:space="preserve">Options:</w:t>
            </w:r>
          </w:p>
          <w:p>
            <w:pPr>
              <w:pStyle w:val="Compact"/>
              <w:numPr>
                <w:ilvl w:val="0"/>
                <w:numId w:val="1005"/>
              </w:numPr>
            </w:pPr>
            <w:r>
              <w:t xml:space="preserve">No (0)</w:t>
            </w:r>
          </w:p>
          <w:p>
            <w:pPr>
              <w:pStyle w:val="Compact"/>
              <w:numPr>
                <w:ilvl w:val="0"/>
                <w:numId w:val="1005"/>
              </w:numPr>
            </w:pPr>
            <w:r>
              <w:t xml:space="preserve">Yes (1)</w:t>
            </w:r>
          </w:p>
        </w:tc>
      </w:tr>
      <w:tr>
        <w:tc>
          <w:tcPr/>
          <w:p>
            <w:pPr>
              <w:pStyle w:val="FirstParagraph"/>
            </w:pPr>
            <w:r>
              <w:t xml:space="preserve">Localized tenderness along the deep venous system</w:t>
            </w:r>
          </w:p>
          <w:p>
            <w:pPr>
              <w:pStyle w:val="BodyText"/>
            </w:pPr>
          </w:p>
        </w:tc>
        <w:tc>
          <w:tcPr/>
          <w:p>
            <w:pPr>
              <w:pStyle w:val="Compact"/>
            </w:pPr>
            <w:r>
              <w:rPr>
                <w:b/>
                <w:bCs/>
              </w:rPr>
              <w:t xml:space="preserve">Options:</w:t>
            </w:r>
          </w:p>
          <w:p>
            <w:pPr>
              <w:pStyle w:val="Compact"/>
              <w:numPr>
                <w:ilvl w:val="0"/>
                <w:numId w:val="1006"/>
              </w:numPr>
            </w:pPr>
            <w:r>
              <w:t xml:space="preserve">No (0)</w:t>
            </w:r>
          </w:p>
          <w:p>
            <w:pPr>
              <w:pStyle w:val="Compact"/>
              <w:numPr>
                <w:ilvl w:val="0"/>
                <w:numId w:val="1006"/>
              </w:numPr>
            </w:pPr>
            <w:r>
              <w:t xml:space="preserve">Yes (1)</w:t>
            </w:r>
          </w:p>
        </w:tc>
      </w:tr>
      <w:tr>
        <w:tc>
          <w:tcPr/>
          <w:p>
            <w:pPr>
              <w:pStyle w:val="FirstParagraph"/>
            </w:pPr>
            <w:r>
              <w:t xml:space="preserve">Pitting edema, confined to symptomatic leg</w:t>
            </w:r>
          </w:p>
          <w:p>
            <w:pPr>
              <w:pStyle w:val="BodyText"/>
            </w:pPr>
          </w:p>
        </w:tc>
        <w:tc>
          <w:tcPr/>
          <w:p>
            <w:pPr>
              <w:pStyle w:val="Compact"/>
            </w:pPr>
            <w:r>
              <w:rPr>
                <w:b/>
                <w:bCs/>
              </w:rPr>
              <w:t xml:space="preserve">Options:</w:t>
            </w:r>
          </w:p>
          <w:p>
            <w:pPr>
              <w:pStyle w:val="Compact"/>
              <w:numPr>
                <w:ilvl w:val="0"/>
                <w:numId w:val="1007"/>
              </w:numPr>
            </w:pPr>
            <w:r>
              <w:t xml:space="preserve">No (0)</w:t>
            </w:r>
          </w:p>
          <w:p>
            <w:pPr>
              <w:pStyle w:val="Compact"/>
              <w:numPr>
                <w:ilvl w:val="0"/>
                <w:numId w:val="1007"/>
              </w:numPr>
            </w:pPr>
            <w:r>
              <w:t xml:space="preserve">Yes (1)</w:t>
            </w:r>
          </w:p>
        </w:tc>
      </w:tr>
      <w:tr>
        <w:tc>
          <w:tcPr/>
          <w:p>
            <w:pPr>
              <w:pStyle w:val="FirstParagraph"/>
            </w:pPr>
            <w:r>
              <w:t xml:space="preserve">Paralysis, paresis, or recent plaster immobilization of the lower extremity</w:t>
            </w:r>
          </w:p>
          <w:p>
            <w:pPr>
              <w:pStyle w:val="BodyText"/>
            </w:pPr>
          </w:p>
        </w:tc>
        <w:tc>
          <w:tcPr/>
          <w:p>
            <w:pPr>
              <w:pStyle w:val="Compact"/>
            </w:pPr>
            <w:r>
              <w:rPr>
                <w:b/>
                <w:bCs/>
              </w:rPr>
              <w:t xml:space="preserve">Options:</w:t>
            </w:r>
          </w:p>
          <w:p>
            <w:pPr>
              <w:pStyle w:val="Compact"/>
              <w:numPr>
                <w:ilvl w:val="0"/>
                <w:numId w:val="1008"/>
              </w:numPr>
            </w:pPr>
            <w:r>
              <w:t xml:space="preserve">No (0)</w:t>
            </w:r>
          </w:p>
          <w:p>
            <w:pPr>
              <w:pStyle w:val="Compact"/>
              <w:numPr>
                <w:ilvl w:val="0"/>
                <w:numId w:val="1008"/>
              </w:numPr>
            </w:pPr>
            <w:r>
              <w:t xml:space="preserve">Yes (1)</w:t>
            </w:r>
          </w:p>
        </w:tc>
      </w:tr>
      <w:tr>
        <w:tc>
          <w:tcPr/>
          <w:p>
            <w:pPr>
              <w:pStyle w:val="FirstParagraph"/>
            </w:pPr>
            <w:r>
              <w:t xml:space="preserve">Previously documented DVT</w:t>
            </w:r>
          </w:p>
          <w:p>
            <w:pPr>
              <w:pStyle w:val="BodyText"/>
            </w:pPr>
          </w:p>
        </w:tc>
        <w:tc>
          <w:tcPr/>
          <w:p>
            <w:pPr>
              <w:pStyle w:val="Compact"/>
            </w:pPr>
            <w:r>
              <w:rPr>
                <w:b/>
                <w:bCs/>
              </w:rPr>
              <w:t xml:space="preserve">Options:</w:t>
            </w:r>
          </w:p>
          <w:p>
            <w:pPr>
              <w:pStyle w:val="Compact"/>
              <w:numPr>
                <w:ilvl w:val="0"/>
                <w:numId w:val="1009"/>
              </w:numPr>
            </w:pPr>
            <w:r>
              <w:t xml:space="preserve">No (0)</w:t>
            </w:r>
          </w:p>
          <w:p>
            <w:pPr>
              <w:pStyle w:val="Compact"/>
              <w:numPr>
                <w:ilvl w:val="0"/>
                <w:numId w:val="1009"/>
              </w:numPr>
            </w:pPr>
            <w:r>
              <w:t xml:space="preserve">Yes (1)</w:t>
            </w:r>
          </w:p>
        </w:tc>
      </w:tr>
      <w:tr>
        <w:tc>
          <w:tcPr/>
          <w:p>
            <w:pPr>
              <w:pStyle w:val="FirstParagraph"/>
            </w:pPr>
            <w:r>
              <w:t xml:space="preserve">Alternative diagnosis to DVT as likely or more likely</w:t>
            </w:r>
          </w:p>
          <w:p>
            <w:pPr>
              <w:pStyle w:val="BodyText"/>
            </w:pPr>
          </w:p>
        </w:tc>
        <w:tc>
          <w:tcPr/>
          <w:p>
            <w:pPr>
              <w:pStyle w:val="Compact"/>
            </w:pPr>
            <w:r>
              <w:rPr>
                <w:b/>
                <w:bCs/>
              </w:rPr>
              <w:t xml:space="preserve">Options:</w:t>
            </w:r>
          </w:p>
          <w:p>
            <w:pPr>
              <w:pStyle w:val="Compact"/>
              <w:numPr>
                <w:ilvl w:val="0"/>
                <w:numId w:val="1010"/>
              </w:numPr>
            </w:pPr>
            <w:r>
              <w:t xml:space="preserve">No (0)</w:t>
            </w:r>
          </w:p>
          <w:p>
            <w:pPr>
              <w:pStyle w:val="Compact"/>
              <w:numPr>
                <w:ilvl w:val="0"/>
                <w:numId w:val="1010"/>
              </w:numPr>
            </w:pPr>
            <w:r>
              <w:t xml:space="preserve">Yes (-2)</w:t>
            </w:r>
          </w:p>
        </w:tc>
      </w:tr>
    </w:tbl>
    <w:bookmarkEnd w:id="20"/>
    <w:bookmarkStart w:id="22" w:name="formula"/>
    <w:p>
      <w:pPr>
        <w:pStyle w:val="Heading2"/>
      </w:pPr>
      <w:r>
        <w:t xml:space="preserve">FORMULA</w:t>
      </w:r>
    </w:p>
    <w:p>
      <w:pPr>
        <w:pStyle w:val="FirstParagraph"/>
      </w:pPr>
      <w:r>
        <w:t xml:space="preserve">Addition of the selected points:</w:t>
      </w:r>
    </w:p>
    <w:tbl>
      <w:tblPr>
        <w:tblStyle w:val="Table"/>
        <w:tblW w:type="auto" w:w="0"/>
        <w:tblLook w:firstRow="0" w:lastRow="0" w:firstColumn="0" w:lastColumn="0" w:noHBand="0" w:noVBand="0" w:val="0000"/>
      </w:tblPr>
      <w:tblGrid>
        <w:gridCol w:w="2640"/>
        <w:gridCol w:w="2640"/>
        <w:gridCol w:w="2640"/>
      </w:tblGrid>
      <w:tr>
        <w:tc>
          <w:tcPr>
            <w:gridSpan w:val="2"/>
          </w:tcPr>
          <w:p>
            <w:pPr>
              <w:pStyle w:val="Compact"/>
            </w:pPr>
            <w:r>
              <w:rPr>
                <w:b/>
                <w:bCs/>
              </w:rPr>
              <w:t xml:space="preserve">Variable</w:t>
            </w:r>
          </w:p>
        </w:tc>
        <w:tc>
          <w:tcPr/>
          <w:p>
            <w:pPr>
              <w:pStyle w:val="Compact"/>
            </w:pPr>
            <w:r>
              <w:rPr>
                <w:b/>
                <w:bCs/>
              </w:rPr>
              <w:t xml:space="preserve">Points</w:t>
            </w:r>
          </w:p>
        </w:tc>
      </w:tr>
      <w:tr>
        <w:tc>
          <w:tcPr>
            <w:vMerge w:val="restart"/>
          </w:tcPr>
          <w:p>
            <w:pPr>
              <w:pStyle w:val="BodyText"/>
            </w:pPr>
            <w:r>
              <w:t xml:space="preserve">Active cancer (treatment or palliation within 6 months)</w:t>
            </w:r>
          </w:p>
        </w:tc>
        <w:tc>
          <w:tcPr/>
          <w:p>
            <w:pPr>
              <w:pStyle w:val="BodyText"/>
            </w:pPr>
            <w:r>
              <w:t xml:space="preserve">No</w:t>
            </w:r>
          </w:p>
        </w:tc>
        <w:tc>
          <w:tcPr/>
          <w:p>
            <w:pPr>
              <w:pStyle w:val="BodyText"/>
            </w:pPr>
            <w:r>
              <w:t xml:space="preserve">0</w:t>
            </w:r>
          </w:p>
        </w:tc>
      </w:tr>
      <w:tr>
        <w:tc>
          <w:tcPr>
            <w:gridSpan w:val="1"/>
            <w:vMerge w:val="continue"/>
          </w:tcPr>
          <w:p>
            <w:pPr/>
          </w:p>
        </w:tc>
        <w:tc>
          <w:tcPr/>
          <w:p>
            <w:pPr>
              <w:pStyle w:val="BodyText"/>
            </w:pPr>
            <w:r>
              <w:t xml:space="preserve">Yes</w:t>
            </w:r>
          </w:p>
        </w:tc>
        <w:tc>
          <w:tcPr/>
          <w:p>
            <w:pPr>
              <w:pStyle w:val="BodyText"/>
            </w:pPr>
            <w:r>
              <w:t xml:space="preserve">1</w:t>
            </w:r>
          </w:p>
        </w:tc>
      </w:tr>
      <w:tr>
        <w:tc>
          <w:tcPr>
            <w:vMerge w:val="restart"/>
          </w:tcPr>
          <w:p>
            <w:pPr>
              <w:pStyle w:val="BodyText"/>
            </w:pPr>
            <w:r>
              <w:t xml:space="preserve">Bedridden recently &gt;3 days or major surgery within 12 weeks</w:t>
            </w:r>
          </w:p>
        </w:tc>
        <w:tc>
          <w:tcPr/>
          <w:p>
            <w:pPr>
              <w:pStyle w:val="BodyText"/>
            </w:pPr>
            <w:r>
              <w:t xml:space="preserve">No</w:t>
            </w:r>
          </w:p>
        </w:tc>
        <w:tc>
          <w:tcPr/>
          <w:p>
            <w:pPr>
              <w:pStyle w:val="BodyText"/>
            </w:pPr>
            <w:r>
              <w:t xml:space="preserve">0</w:t>
            </w:r>
          </w:p>
        </w:tc>
      </w:tr>
      <w:tr>
        <w:tc>
          <w:tcPr>
            <w:gridSpan w:val="1"/>
            <w:vMerge w:val="continue"/>
          </w:tcPr>
          <w:p>
            <w:pPr/>
          </w:p>
        </w:tc>
        <w:tc>
          <w:tcPr/>
          <w:p>
            <w:pPr>
              <w:pStyle w:val="BodyText"/>
            </w:pPr>
            <w:r>
              <w:t xml:space="preserve">Yes</w:t>
            </w:r>
          </w:p>
        </w:tc>
        <w:tc>
          <w:tcPr/>
          <w:p>
            <w:pPr>
              <w:pStyle w:val="BodyText"/>
            </w:pPr>
            <w:r>
              <w:t xml:space="preserve">1</w:t>
            </w:r>
          </w:p>
        </w:tc>
      </w:tr>
      <w:tr>
        <w:tc>
          <w:tcPr>
            <w:vMerge w:val="restart"/>
          </w:tcPr>
          <w:p>
            <w:pPr>
              <w:pStyle w:val="BodyText"/>
            </w:pPr>
            <w:r>
              <w:t xml:space="preserve">Calf swelling &gt;3 cm compared to the other leg (measured 10 cm below tibial tuberosity)</w:t>
            </w:r>
          </w:p>
        </w:tc>
        <w:tc>
          <w:tcPr/>
          <w:p>
            <w:pPr>
              <w:pStyle w:val="BodyText"/>
            </w:pPr>
            <w:r>
              <w:t xml:space="preserve">No</w:t>
            </w:r>
          </w:p>
        </w:tc>
        <w:tc>
          <w:tcPr/>
          <w:p>
            <w:pPr>
              <w:pStyle w:val="BodyText"/>
            </w:pPr>
            <w:r>
              <w:t xml:space="preserve">0</w:t>
            </w:r>
          </w:p>
        </w:tc>
      </w:tr>
      <w:tr>
        <w:tc>
          <w:tcPr>
            <w:gridSpan w:val="1"/>
            <w:vMerge w:val="continue"/>
          </w:tcPr>
          <w:p>
            <w:pPr/>
          </w:p>
        </w:tc>
        <w:tc>
          <w:tcPr/>
          <w:p>
            <w:pPr>
              <w:pStyle w:val="BodyText"/>
            </w:pPr>
            <w:r>
              <w:t xml:space="preserve">Yes</w:t>
            </w:r>
          </w:p>
        </w:tc>
        <w:tc>
          <w:tcPr/>
          <w:p>
            <w:pPr>
              <w:pStyle w:val="BodyText"/>
            </w:pPr>
            <w:r>
              <w:t xml:space="preserve">1</w:t>
            </w:r>
          </w:p>
        </w:tc>
      </w:tr>
      <w:tr>
        <w:tc>
          <w:tcPr>
            <w:vMerge w:val="restart"/>
          </w:tcPr>
          <w:p>
            <w:pPr>
              <w:pStyle w:val="BodyText"/>
            </w:pPr>
            <w:r>
              <w:t xml:space="preserve">Collateral (nonvaricose) superficial veins present</w:t>
            </w:r>
          </w:p>
        </w:tc>
        <w:tc>
          <w:tcPr/>
          <w:p>
            <w:pPr>
              <w:pStyle w:val="BodyText"/>
            </w:pPr>
            <w:r>
              <w:t xml:space="preserve">No</w:t>
            </w:r>
          </w:p>
        </w:tc>
        <w:tc>
          <w:tcPr/>
          <w:p>
            <w:pPr>
              <w:pStyle w:val="BodyText"/>
            </w:pPr>
            <w:r>
              <w:t xml:space="preserve">0</w:t>
            </w:r>
          </w:p>
        </w:tc>
      </w:tr>
      <w:tr>
        <w:tc>
          <w:tcPr>
            <w:gridSpan w:val="1"/>
            <w:vMerge w:val="continue"/>
          </w:tcPr>
          <w:p>
            <w:pPr/>
          </w:p>
        </w:tc>
        <w:tc>
          <w:tcPr/>
          <w:p>
            <w:pPr>
              <w:pStyle w:val="BodyText"/>
            </w:pPr>
            <w:r>
              <w:t xml:space="preserve">Yes</w:t>
            </w:r>
          </w:p>
        </w:tc>
        <w:tc>
          <w:tcPr/>
          <w:p>
            <w:pPr>
              <w:pStyle w:val="BodyText"/>
            </w:pPr>
            <w:r>
              <w:t xml:space="preserve">1</w:t>
            </w:r>
          </w:p>
        </w:tc>
      </w:tr>
      <w:tr>
        <w:tc>
          <w:tcPr>
            <w:vMerge w:val="restart"/>
          </w:tcPr>
          <w:p>
            <w:pPr>
              <w:pStyle w:val="BodyText"/>
            </w:pPr>
            <w:r>
              <w:t xml:space="preserve">Entire leg swollen</w:t>
            </w:r>
          </w:p>
        </w:tc>
        <w:tc>
          <w:tcPr/>
          <w:p>
            <w:pPr>
              <w:pStyle w:val="BodyText"/>
            </w:pPr>
            <w:r>
              <w:t xml:space="preserve">No</w:t>
            </w:r>
          </w:p>
        </w:tc>
        <w:tc>
          <w:tcPr/>
          <w:p>
            <w:pPr>
              <w:pStyle w:val="BodyText"/>
            </w:pPr>
            <w:r>
              <w:t xml:space="preserve">0</w:t>
            </w:r>
          </w:p>
        </w:tc>
      </w:tr>
      <w:tr>
        <w:tc>
          <w:tcPr>
            <w:gridSpan w:val="1"/>
            <w:vMerge w:val="continue"/>
          </w:tcPr>
          <w:p>
            <w:pPr/>
          </w:p>
        </w:tc>
        <w:tc>
          <w:tcPr/>
          <w:p>
            <w:pPr>
              <w:pStyle w:val="BodyText"/>
            </w:pPr>
            <w:r>
              <w:t xml:space="preserve">Yes</w:t>
            </w:r>
          </w:p>
        </w:tc>
        <w:tc>
          <w:tcPr/>
          <w:p>
            <w:pPr>
              <w:pStyle w:val="BodyText"/>
            </w:pPr>
            <w:r>
              <w:t xml:space="preserve">1</w:t>
            </w:r>
          </w:p>
        </w:tc>
      </w:tr>
      <w:tr>
        <w:tc>
          <w:tcPr>
            <w:vMerge w:val="restart"/>
          </w:tcPr>
          <w:p>
            <w:pPr>
              <w:pStyle w:val="BodyText"/>
            </w:pPr>
            <w:r>
              <w:t xml:space="preserve">Localized tenderness along the deep venous system</w:t>
            </w:r>
          </w:p>
        </w:tc>
        <w:tc>
          <w:tcPr/>
          <w:p>
            <w:pPr>
              <w:pStyle w:val="BodyText"/>
            </w:pPr>
            <w:r>
              <w:t xml:space="preserve">No</w:t>
            </w:r>
          </w:p>
        </w:tc>
        <w:tc>
          <w:tcPr/>
          <w:p>
            <w:pPr>
              <w:pStyle w:val="BodyText"/>
            </w:pPr>
            <w:r>
              <w:t xml:space="preserve">0</w:t>
            </w:r>
          </w:p>
        </w:tc>
      </w:tr>
      <w:tr>
        <w:tc>
          <w:tcPr>
            <w:gridSpan w:val="1"/>
            <w:vMerge w:val="continue"/>
          </w:tcPr>
          <w:p>
            <w:pPr/>
          </w:p>
        </w:tc>
        <w:tc>
          <w:tcPr/>
          <w:p>
            <w:pPr>
              <w:pStyle w:val="BodyText"/>
            </w:pPr>
            <w:r>
              <w:t xml:space="preserve">Yes</w:t>
            </w:r>
          </w:p>
        </w:tc>
        <w:tc>
          <w:tcPr/>
          <w:p>
            <w:pPr>
              <w:pStyle w:val="BodyText"/>
            </w:pPr>
            <w:r>
              <w:t xml:space="preserve">1</w:t>
            </w:r>
          </w:p>
        </w:tc>
      </w:tr>
      <w:tr>
        <w:tc>
          <w:tcPr>
            <w:vMerge w:val="restart"/>
          </w:tcPr>
          <w:p>
            <w:pPr>
              <w:pStyle w:val="BodyText"/>
            </w:pPr>
            <w:r>
              <w:t xml:space="preserve">Pitting edema, confined to symptomatic leg</w:t>
            </w:r>
          </w:p>
        </w:tc>
        <w:tc>
          <w:tcPr/>
          <w:p>
            <w:pPr>
              <w:pStyle w:val="BodyText"/>
            </w:pPr>
            <w:r>
              <w:t xml:space="preserve">No</w:t>
            </w:r>
          </w:p>
        </w:tc>
        <w:tc>
          <w:tcPr/>
          <w:p>
            <w:pPr>
              <w:pStyle w:val="BodyText"/>
            </w:pPr>
            <w:r>
              <w:t xml:space="preserve">0</w:t>
            </w:r>
          </w:p>
        </w:tc>
      </w:tr>
      <w:tr>
        <w:tc>
          <w:tcPr>
            <w:gridSpan w:val="1"/>
            <w:vMerge w:val="continue"/>
          </w:tcPr>
          <w:p>
            <w:pPr/>
          </w:p>
        </w:tc>
        <w:tc>
          <w:tcPr/>
          <w:p>
            <w:pPr>
              <w:pStyle w:val="BodyText"/>
            </w:pPr>
            <w:r>
              <w:t xml:space="preserve">Yes</w:t>
            </w:r>
          </w:p>
        </w:tc>
        <w:tc>
          <w:tcPr/>
          <w:p>
            <w:pPr>
              <w:pStyle w:val="BodyText"/>
            </w:pPr>
            <w:r>
              <w:t xml:space="preserve">1</w:t>
            </w:r>
          </w:p>
        </w:tc>
      </w:tr>
      <w:tr>
        <w:tc>
          <w:tcPr>
            <w:vMerge w:val="restart"/>
          </w:tcPr>
          <w:p>
            <w:pPr>
              <w:pStyle w:val="BodyText"/>
            </w:pPr>
            <w:r>
              <w:t xml:space="preserve">Paralysis, paresis, or recent plaster immobilization of the lower extremity</w:t>
            </w:r>
          </w:p>
        </w:tc>
        <w:tc>
          <w:tcPr/>
          <w:p>
            <w:pPr>
              <w:pStyle w:val="BodyText"/>
            </w:pPr>
            <w:r>
              <w:t xml:space="preserve">No</w:t>
            </w:r>
          </w:p>
        </w:tc>
        <w:tc>
          <w:tcPr/>
          <w:p>
            <w:pPr>
              <w:pStyle w:val="BodyText"/>
            </w:pPr>
            <w:r>
              <w:t xml:space="preserve">0</w:t>
            </w:r>
          </w:p>
        </w:tc>
      </w:tr>
      <w:tr>
        <w:tc>
          <w:tcPr>
            <w:gridSpan w:val="1"/>
            <w:vMerge w:val="continue"/>
          </w:tcPr>
          <w:p>
            <w:pPr/>
          </w:p>
        </w:tc>
        <w:tc>
          <w:tcPr/>
          <w:p>
            <w:pPr>
              <w:pStyle w:val="BodyText"/>
            </w:pPr>
            <w:r>
              <w:t xml:space="preserve">Yes</w:t>
            </w:r>
          </w:p>
        </w:tc>
        <w:tc>
          <w:tcPr/>
          <w:p>
            <w:pPr>
              <w:pStyle w:val="BodyText"/>
            </w:pPr>
            <w:r>
              <w:t xml:space="preserve">1</w:t>
            </w:r>
          </w:p>
        </w:tc>
      </w:tr>
      <w:tr>
        <w:tc>
          <w:tcPr>
            <w:vMerge w:val="restart"/>
          </w:tcPr>
          <w:p>
            <w:pPr>
              <w:pStyle w:val="BodyText"/>
            </w:pPr>
            <w:r>
              <w:t xml:space="preserve">Previously documented DVT</w:t>
            </w:r>
          </w:p>
        </w:tc>
        <w:tc>
          <w:tcPr/>
          <w:p>
            <w:pPr>
              <w:pStyle w:val="BodyText"/>
            </w:pPr>
            <w:r>
              <w:t xml:space="preserve">No</w:t>
            </w:r>
          </w:p>
        </w:tc>
        <w:tc>
          <w:tcPr/>
          <w:p>
            <w:pPr>
              <w:pStyle w:val="BodyText"/>
            </w:pPr>
            <w:r>
              <w:t xml:space="preserve">0</w:t>
            </w:r>
          </w:p>
        </w:tc>
      </w:tr>
      <w:tr>
        <w:tc>
          <w:tcPr>
            <w:gridSpan w:val="1"/>
            <w:vMerge w:val="continue"/>
          </w:tcPr>
          <w:p>
            <w:pPr/>
          </w:p>
        </w:tc>
        <w:tc>
          <w:tcPr/>
          <w:p>
            <w:pPr>
              <w:pStyle w:val="BodyText"/>
            </w:pPr>
            <w:r>
              <w:t xml:space="preserve">Yes</w:t>
            </w:r>
          </w:p>
        </w:tc>
        <w:tc>
          <w:tcPr/>
          <w:p>
            <w:pPr>
              <w:pStyle w:val="BodyText"/>
            </w:pPr>
            <w:r>
              <w:t xml:space="preserve">1</w:t>
            </w:r>
          </w:p>
        </w:tc>
      </w:tr>
      <w:tr>
        <w:tc>
          <w:tcPr>
            <w:vMerge w:val="restart"/>
          </w:tcPr>
          <w:p>
            <w:pPr>
              <w:pStyle w:val="BodyText"/>
            </w:pPr>
            <w:r>
              <w:t xml:space="preserve">Alternative diagnosis to DVT as likely or more likely</w:t>
            </w:r>
          </w:p>
        </w:tc>
        <w:tc>
          <w:tcPr/>
          <w:p>
            <w:pPr>
              <w:pStyle w:val="BodyText"/>
            </w:pPr>
            <w:r>
              <w:t xml:space="preserve">No</w:t>
            </w:r>
          </w:p>
        </w:tc>
        <w:tc>
          <w:tcPr/>
          <w:p>
            <w:pPr>
              <w:pStyle w:val="BodyText"/>
            </w:pPr>
            <w:r>
              <w:t xml:space="preserve">0</w:t>
            </w:r>
          </w:p>
        </w:tc>
      </w:tr>
      <w:tr>
        <w:tc>
          <w:tcPr>
            <w:gridSpan w:val="1"/>
            <w:vMerge w:val="continue"/>
          </w:tcPr>
          <w:p>
            <w:pPr/>
          </w:p>
        </w:tc>
        <w:tc>
          <w:tcPr/>
          <w:p>
            <w:pPr>
              <w:pStyle w:val="BodyText"/>
            </w:pPr>
            <w:r>
              <w:t xml:space="preserve">Yes</w:t>
            </w:r>
          </w:p>
        </w:tc>
        <w:tc>
          <w:tcPr/>
          <w:p>
            <w:pPr>
              <w:pStyle w:val="BodyText"/>
            </w:pPr>
            <w:r>
              <w:t xml:space="preserve">-2</w:t>
            </w:r>
          </w:p>
        </w:tc>
      </w:tr>
    </w:tbl>
    <w:p>
      <w:pPr>
        <w:pStyle w:val="BodyText"/>
      </w:pPr>
      <w:r>
        <w:t xml:space="preserve">Note: there are a few versions of the criteria with minor differences based on the study; this set is the most widely validated, based on</w:t>
      </w:r>
      <w:r>
        <w:t xml:space="preserve"> </w:t>
      </w:r>
      <w:hyperlink r:id="rId21">
        <w:r>
          <w:rPr>
            <w:rStyle w:val="Hyperlink"/>
          </w:rPr>
          <w:t xml:space="preserve">Wells 2003</w:t>
        </w:r>
      </w:hyperlink>
      <w:r>
        <w:t xml:space="preserve">.</w:t>
      </w:r>
    </w:p>
    <w:bookmarkEnd w:id="22"/>
    <w:bookmarkStart w:id="23" w:name="facts-figures"/>
    <w:p>
      <w:pPr>
        <w:pStyle w:val="Heading2"/>
      </w:pPr>
      <w:r>
        <w:t xml:space="preserve">FACTS &amp; FIGURES</w:t>
      </w:r>
    </w:p>
    <w:p>
      <w:pPr>
        <w:pStyle w:val="FirstParagraph"/>
      </w:pPr>
      <w:r>
        <w:t xml:space="preserve">Interpretation:</w:t>
      </w:r>
    </w:p>
    <w:tbl>
      <w:tblPr>
        <w:tblStyle w:val="Table"/>
        <w:tblW w:type="auto" w:w="0"/>
        <w:tblLook w:firstRow="0" w:lastRow="0" w:firstColumn="0" w:lastColumn="0" w:noHBand="0" w:noVBand="0" w:val="0000"/>
      </w:tblPr>
      <w:tblGrid>
        <w:gridCol w:w="2640"/>
        <w:gridCol w:w="2640"/>
        <w:gridCol w:w="2640"/>
      </w:tblGrid>
      <w:tr>
        <w:tc>
          <w:tcPr/>
          <w:p>
            <w:pPr>
              <w:pStyle w:val="Compact"/>
            </w:pPr>
            <w:r>
              <w:rPr>
                <w:b/>
                <w:bCs/>
              </w:rPr>
              <w:t xml:space="preserve">Wells' Score</w:t>
            </w:r>
          </w:p>
        </w:tc>
        <w:tc>
          <w:tcPr/>
          <w:p>
            <w:pPr>
              <w:pStyle w:val="Compact"/>
            </w:pPr>
            <w:r>
              <w:rPr>
                <w:b/>
                <w:bCs/>
              </w:rPr>
              <w:t xml:space="preserve">Risk group</w:t>
            </w:r>
          </w:p>
        </w:tc>
        <w:tc>
          <w:tcPr/>
          <w:p>
            <w:pPr>
              <w:pStyle w:val="Compact"/>
            </w:pPr>
            <w:r>
              <w:rPr>
                <w:b/>
                <w:bCs/>
              </w:rPr>
              <w:t xml:space="preserve">Prevalence of DVT</w:t>
            </w:r>
          </w:p>
        </w:tc>
      </w:tr>
      <w:tr>
        <w:tc>
          <w:tcPr/>
          <w:p>
            <w:pPr>
              <w:pStyle w:val="Compact"/>
            </w:pPr>
            <w:r>
              <w:t xml:space="preserve">≤0</w:t>
            </w:r>
          </w:p>
        </w:tc>
        <w:tc>
          <w:tcPr/>
          <w:p>
            <w:pPr>
              <w:pStyle w:val="BodyText"/>
            </w:pPr>
            <w:r>
              <w:t xml:space="preserve">Low/unlikely</w:t>
            </w:r>
          </w:p>
        </w:tc>
        <w:tc>
          <w:tcPr/>
          <w:p>
            <w:pPr>
              <w:pStyle w:val="Compact"/>
            </w:pPr>
            <w:r>
              <w:t xml:space="preserve">5%</w:t>
            </w:r>
          </w:p>
        </w:tc>
      </w:tr>
      <w:tr>
        <w:tc>
          <w:tcPr/>
          <w:p>
            <w:pPr>
              <w:pStyle w:val="BodyText"/>
            </w:pPr>
            <w:r>
              <w:t xml:space="preserve">1-2</w:t>
            </w:r>
          </w:p>
        </w:tc>
        <w:tc>
          <w:tcPr/>
          <w:p>
            <w:pPr>
              <w:pStyle w:val="Compact"/>
            </w:pPr>
            <w:r>
              <w:t xml:space="preserve">Moderate</w:t>
            </w:r>
          </w:p>
        </w:tc>
        <w:tc>
          <w:tcPr/>
          <w:p>
            <w:pPr>
              <w:pStyle w:val="BodyText"/>
            </w:pPr>
            <w:r>
              <w:t xml:space="preserve">17%</w:t>
            </w:r>
          </w:p>
        </w:tc>
      </w:tr>
      <w:tr>
        <w:tc>
          <w:tcPr/>
          <w:p>
            <w:pPr>
              <w:pStyle w:val="Compact"/>
            </w:pPr>
            <w:r>
              <w:t xml:space="preserve">≥3</w:t>
            </w:r>
          </w:p>
        </w:tc>
        <w:tc>
          <w:tcPr/>
          <w:p>
            <w:pPr>
              <w:pStyle w:val="Compact"/>
            </w:pPr>
            <w:r>
              <w:t xml:space="preserve">High/likely</w:t>
            </w:r>
          </w:p>
        </w:tc>
        <w:tc>
          <w:tcPr/>
          <w:p>
            <w:pPr>
              <w:pStyle w:val="BodyText"/>
            </w:pPr>
            <w:r>
              <w:t xml:space="preserve">17-53%</w:t>
            </w:r>
          </w:p>
        </w:tc>
      </w:tr>
    </w:tbl>
    <w:bookmarkEnd w:id="23"/>
    <w:bookmarkStart w:id="28" w:name="evidence-appraisal"/>
    <w:p>
      <w:pPr>
        <w:pStyle w:val="Heading2"/>
      </w:pPr>
      <w:r>
        <w:t xml:space="preserve">EVIDENCE APPRAISAL</w:t>
      </w:r>
    </w:p>
    <w:p>
      <w:pPr>
        <w:pStyle w:val="Compact"/>
        <w:numPr>
          <w:ilvl w:val="0"/>
          <w:numId w:val="1011"/>
        </w:numPr>
      </w:pPr>
      <w:r>
        <w:t xml:space="preserve">Wells' Criteria were derived from a number of studies by Wells et al (</w:t>
      </w:r>
      <w:hyperlink r:id="rId24">
        <w:r>
          <w:rPr>
            <w:rStyle w:val="Hyperlink"/>
          </w:rPr>
          <w:t xml:space="preserve">Wells 1995</w:t>
        </w:r>
      </w:hyperlink>
      <w:r>
        <w:t xml:space="preserve">,</w:t>
      </w:r>
      <w:r>
        <w:t xml:space="preserve"> </w:t>
      </w:r>
      <w:hyperlink r:id="rId25">
        <w:r>
          <w:rPr>
            <w:rStyle w:val="Hyperlink"/>
          </w:rPr>
          <w:t xml:space="preserve">Wells 1997</w:t>
        </w:r>
      </w:hyperlink>
      <w:r>
        <w:t xml:space="preserve">,</w:t>
      </w:r>
      <w:r>
        <w:t xml:space="preserve"> </w:t>
      </w:r>
      <w:hyperlink r:id="rId21">
        <w:r>
          <w:rPr>
            <w:rStyle w:val="Hyperlink"/>
          </w:rPr>
          <w:t xml:space="preserve">Wells 2003</w:t>
        </w:r>
      </w:hyperlink>
      <w:r>
        <w:t xml:space="preserve">) in an attempt to stratify risk of DVT in symptomatic outpatients, since at the time, the clinical diagnosis of DVT was thought to be inaccurate, leading to widespread overuse of confirmatory imaging.</w:t>
      </w:r>
    </w:p>
    <w:p>
      <w:pPr>
        <w:pStyle w:val="Compact"/>
        <w:numPr>
          <w:ilvl w:val="0"/>
          <w:numId w:val="1011"/>
        </w:numPr>
      </w:pPr>
      <w:hyperlink r:id="rId21">
        <w:r>
          <w:rPr>
            <w:rStyle w:val="Hyperlink"/>
          </w:rPr>
          <w:t xml:space="preserve">Wells 2003</w:t>
        </w:r>
      </w:hyperlink>
      <w:r>
        <w:t xml:space="preserve"> took 1,096 outpatients with concern for DVT and randomized them into two groups after applying Wells’ Criteria for DVT. 520 were the control and had an ultrasound, 562 were tested with a d-dimer. If the dimer was positive these patients also received an US. If negative no US was performed. 16% of the control group and 15.5 percent of the test group had DVT or PE resulting in overall incidence of 15.7%.</w:t>
      </w:r>
    </w:p>
    <w:p>
      <w:pPr>
        <w:pStyle w:val="Compact"/>
        <w:numPr>
          <w:ilvl w:val="0"/>
          <w:numId w:val="1011"/>
        </w:numPr>
      </w:pPr>
      <w:r>
        <w:t xml:space="preserve">Of the 520 control patients, 279 were considered DVT unlikely, and 241 were DVT likely. 16 (5.7%) of the unlikely patients had DVT or PE. In the control group overall, 6 (1.4%) patients who had been initially ruled out had a diagnosis of DVT on 3 month follow-up.</w:t>
      </w:r>
    </w:p>
    <w:p>
      <w:pPr>
        <w:pStyle w:val="Compact"/>
        <w:numPr>
          <w:ilvl w:val="0"/>
          <w:numId w:val="1011"/>
        </w:numPr>
      </w:pPr>
      <w:r>
        <w:t xml:space="preserve">Of the 562 patients in the d-dimer group, 315 were considered unlikely and 247 considered likely to have DVT. 71 (28.7%) of the likely group had DVT. 38.8 percent of the unlikely group had a negative d-dimer and did not undergo further testing. 2 of these patients (0.4%) had confirmed DVT on 4 and 14 d follow-up. The negative predictive value of d-dimer was 96.1%.</w:t>
      </w:r>
    </w:p>
    <w:p>
      <w:pPr>
        <w:pStyle w:val="Compact"/>
        <w:numPr>
          <w:ilvl w:val="0"/>
          <w:numId w:val="1011"/>
        </w:numPr>
      </w:pPr>
      <w:r>
        <w:t xml:space="preserve">This algorithm was then supported by Scarvelis and Wells in 2006 (</w:t>
      </w:r>
      <w:hyperlink r:id="rId26">
        <w:r>
          <w:rPr>
            <w:rStyle w:val="Hyperlink"/>
          </w:rPr>
          <w:t xml:space="preserve">Scarvelis 2006</w:t>
        </w:r>
      </w:hyperlink>
      <w:r>
        <w:t xml:space="preserve">).</w:t>
      </w:r>
    </w:p>
    <w:p>
      <w:pPr>
        <w:pStyle w:val="Compact"/>
        <w:numPr>
          <w:ilvl w:val="0"/>
          <w:numId w:val="1011"/>
        </w:numPr>
      </w:pPr>
      <w:r>
        <w:t xml:space="preserve">A systematic review (</w:t>
      </w:r>
      <w:hyperlink r:id="rId27">
        <w:r>
          <w:rPr>
            <w:rStyle w:val="Hyperlink"/>
          </w:rPr>
          <w:t xml:space="preserve">Wells 2006</w:t>
        </w:r>
      </w:hyperlink>
      <w:r>
        <w:t xml:space="preserve">) was performed in 2006 which evaluated 14 studies with 8239 patients that used the Wells score to predict risk of DVT and evaluated for incidence of DVT in association with moderate or high sensitivity d-dimer. This has been utilized by the American College of Chest physicians to provide guidelines for the evaluation of DVT.</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ncbi.nlm.nih.gov/pubmed/14507948" TargetMode="External" /><Relationship Type="http://schemas.openxmlformats.org/officeDocument/2006/relationships/hyperlink" Id="rId27" Target="https://www.ncbi.nlm.nih.gov/pubmed/16403932" TargetMode="External" /><Relationship Type="http://schemas.openxmlformats.org/officeDocument/2006/relationships/hyperlink" Id="rId26" Target="https://www.ncbi.nlm.nih.gov/pubmed/17060659" TargetMode="External" /><Relationship Type="http://schemas.openxmlformats.org/officeDocument/2006/relationships/hyperlink" Id="rId24" Target="https://www.ncbi.nlm.nih.gov/pubmed/7752753" TargetMode="External" /><Relationship Type="http://schemas.openxmlformats.org/officeDocument/2006/relationships/hyperlink" Id="rId25" Target="https://www.thelancet.com/journals/lancet/article/PIIS0140-6736(97)08140-3/fulltext" TargetMode="External" /></Relationships>
</file>

<file path=word/_rels/footnotes.xml.rels><?xml version="1.0" encoding="UTF-8"?><Relationships xmlns="http://schemas.openxmlformats.org/package/2006/relationships"><Relationship Type="http://schemas.openxmlformats.org/officeDocument/2006/relationships/hyperlink" Id="rId21" Target="https://www.ncbi.nlm.nih.gov/pubmed/14507948" TargetMode="External" /><Relationship Type="http://schemas.openxmlformats.org/officeDocument/2006/relationships/hyperlink" Id="rId27" Target="https://www.ncbi.nlm.nih.gov/pubmed/16403932" TargetMode="External" /><Relationship Type="http://schemas.openxmlformats.org/officeDocument/2006/relationships/hyperlink" Id="rId26" Target="https://www.ncbi.nlm.nih.gov/pubmed/17060659" TargetMode="External" /><Relationship Type="http://schemas.openxmlformats.org/officeDocument/2006/relationships/hyperlink" Id="rId24" Target="https://www.ncbi.nlm.nih.gov/pubmed/7752753" TargetMode="External" /><Relationship Type="http://schemas.openxmlformats.org/officeDocument/2006/relationships/hyperlink" Id="rId25" Target="https://www.thelancet.com/journals/lancet/article/PIIS0140-6736(97)08140-3/fullte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2024-07-22T20:04:35Z</dcterms:created>
  <dcterms:modified xsi:type="dcterms:W3CDTF">2024-07-22T20:04:35Z</dcterms:modified>
</cp:coreProperties>
</file>

<file path=docProps/custom.xml><?xml version="1.0" encoding="utf-8"?>
<Properties xmlns="http://schemas.openxmlformats.org/officeDocument/2006/custom-properties" xmlns:vt="http://schemas.openxmlformats.org/officeDocument/2006/docPropsVTypes"/>
</file>