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wells-criteria-for-pulmonary-embolism"/>
    <w:p>
      <w:pPr>
        <w:pStyle w:val="Heading1"/>
      </w:pPr>
      <w:r>
        <w:t xml:space="preserve">Wells' Criteria for Pulmonary Embolism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Clinical signs and symptoms of DVT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Yes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 is #1 diagnosis OR equally likely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Yes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Heart rate &gt; 100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Yes (1.5)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Immobilization at least 3 days OR surgery in the previous 4 weeks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Yes (1.5)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Previous, objectively diagnosed PE or DVT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Yes (1.5)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Hemoptysis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Malignancy w/ treatment within 6 months or palliative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Yes (1)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Addition of the selected points: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rPr>
          <w:b/>
          <w:bCs/>
        </w:rPr>
        <w:t xml:space="preserve">Score interpretation: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Score</w:t>
            </w:r>
          </w:p>
        </w:tc>
        <w:tc>
          <w:tcPr/>
          <w:p>
            <w:pPr>
              <w:pStyle w:val="Compact"/>
            </w:pPr>
            <w:r>
              <w:t xml:space="preserve">Risk Category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t xml:space="preserve">Three-Tier Model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0 - 1</w:t>
            </w:r>
          </w:p>
        </w:tc>
        <w:tc>
          <w:tcPr/>
          <w:p>
            <w:pPr>
              <w:pStyle w:val="Compact"/>
            </w:pPr>
            <w:r>
              <w:t xml:space="preserve">Low Risk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2 - 6</w:t>
            </w:r>
          </w:p>
        </w:tc>
        <w:tc>
          <w:tcPr/>
          <w:p>
            <w:pPr>
              <w:pStyle w:val="Compact"/>
            </w:pPr>
            <w:r>
              <w:t xml:space="preserve">Moderate Risk</w:t>
            </w:r>
          </w:p>
        </w:tc>
      </w:tr>
      <w:tr>
        <w:tc>
          <w:tcPr/>
          <w:p>
            <w:pPr>
              <w:pStyle w:val="Compact"/>
            </w:pPr>
            <w:r>
              <w:t xml:space="preserve">&gt;6</w:t>
            </w:r>
          </w:p>
        </w:tc>
        <w:tc>
          <w:tcPr/>
          <w:p>
            <w:pPr>
              <w:pStyle w:val="Compact"/>
            </w:pPr>
            <w:r>
              <w:t xml:space="preserve">High Risk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t xml:space="preserve">Two Tier Model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≤4</w:t>
            </w:r>
          </w:p>
        </w:tc>
        <w:tc>
          <w:tcPr/>
          <w:p>
            <w:pPr>
              <w:pStyle w:val="Compact"/>
            </w:pPr>
            <w:r>
              <w:t xml:space="preserve">PE Unlikely (with d-dimer)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≥5</w:t>
            </w:r>
          </w:p>
        </w:tc>
        <w:tc>
          <w:tcPr/>
          <w:p>
            <w:pPr>
              <w:pStyle w:val="Compact"/>
            </w:pPr>
            <w:r>
              <w:t xml:space="preserve">PE Likely (with CTA)</w:t>
            </w:r>
          </w:p>
        </w:tc>
      </w:tr>
    </w:tbl>
    <w:bookmarkEnd w:id="22"/>
    <w:bookmarkStart w:id="23" w:name="evidence-appraisal"/>
    <w:p>
      <w:pPr>
        <w:pStyle w:val="Heading2"/>
      </w:pPr>
      <w:r>
        <w:t xml:space="preserve">EVIDENCE APPRAISAL</w:t>
      </w:r>
    </w:p>
    <w:p>
      <w:pPr>
        <w:pStyle w:val="Compact"/>
        <w:numPr>
          <w:ilvl w:val="0"/>
          <w:numId w:val="1008"/>
        </w:numPr>
      </w:pPr>
      <w:r>
        <w:t xml:space="preserve">The original Wells study was performed on cohorts where prevalence of PE was high: approximately 30%. Two further emergency department studies validated this tool with a 9.5%-12% PE prevalence.</w:t>
      </w:r>
    </w:p>
    <w:p>
      <w:pPr>
        <w:pStyle w:val="Compact"/>
        <w:numPr>
          <w:ilvl w:val="0"/>
          <w:numId w:val="1008"/>
        </w:numPr>
      </w:pPr>
      <w:r>
        <w:t xml:space="preserve">The largest study demonstrated risk stratification with:</w:t>
      </w:r>
    </w:p>
    <w:p>
      <w:pPr>
        <w:pStyle w:val="Compact"/>
        <w:numPr>
          <w:ilvl w:val="1"/>
          <w:numId w:val="1009"/>
        </w:numPr>
      </w:pPr>
      <w:r>
        <w:t xml:space="preserve">Low score of 0-1 having a 1.3% prevalence.</w:t>
      </w:r>
    </w:p>
    <w:p>
      <w:pPr>
        <w:pStyle w:val="Compact"/>
        <w:numPr>
          <w:ilvl w:val="1"/>
          <w:numId w:val="1009"/>
        </w:numPr>
      </w:pPr>
      <w:r>
        <w:t xml:space="preserve">Moderate score of 2-6 having a 16.2% prevalence.</w:t>
      </w:r>
    </w:p>
    <w:p>
      <w:pPr>
        <w:pStyle w:val="Compact"/>
        <w:numPr>
          <w:ilvl w:val="1"/>
          <w:numId w:val="1009"/>
        </w:numPr>
      </w:pPr>
      <w:r>
        <w:t xml:space="preserve">High score of &gt;6 having a 37.5% prevalence.</w:t>
      </w:r>
    </w:p>
    <w:p>
      <w:pPr>
        <w:pStyle w:val="Compact"/>
        <w:numPr>
          <w:ilvl w:val="0"/>
          <w:numId w:val="1009"/>
        </w:numPr>
      </w:pPr>
      <w:r>
        <w:t xml:space="preserve">The Christopher study divided the Wells scoring system into 2 categories:</w:t>
      </w:r>
    </w:p>
    <w:p>
      <w:pPr>
        <w:pStyle w:val="Compact"/>
        <w:numPr>
          <w:ilvl w:val="1"/>
          <w:numId w:val="1010"/>
        </w:numPr>
      </w:pPr>
      <w:r>
        <w:t xml:space="preserve">A score of 4 or less was defined as “PE unlikely” and tested with a d-dimer.</w:t>
      </w:r>
    </w:p>
    <w:p>
      <w:pPr>
        <w:pStyle w:val="Compact"/>
        <w:numPr>
          <w:ilvl w:val="1"/>
          <w:numId w:val="1010"/>
        </w:numPr>
      </w:pPr>
      <w:r>
        <w:t xml:space="preserve">A score of 5 or more was defined as “PE likely” and went straight to CTA</w:t>
      </w:r>
    </w:p>
    <w:p>
      <w:pPr>
        <w:pStyle w:val="Compact"/>
        <w:numPr>
          <w:ilvl w:val="0"/>
          <w:numId w:val="1010"/>
        </w:numPr>
      </w:pPr>
      <w:r>
        <w:t xml:space="preserve">Overall Incidence of PE was 12.1% in the “unlikely” group vs. 37.1% in the “likely” group.</w:t>
      </w:r>
    </w:p>
    <w:p>
      <w:pPr>
        <w:pStyle w:val="Compact"/>
        <w:numPr>
          <w:ilvl w:val="0"/>
          <w:numId w:val="1010"/>
        </w:numPr>
      </w:pPr>
      <w:r>
        <w:t xml:space="preserve">If dimer was negative no further testing was performed.</w:t>
      </w:r>
    </w:p>
    <w:p>
      <w:pPr>
        <w:pStyle w:val="Compact"/>
        <w:numPr>
          <w:ilvl w:val="0"/>
          <w:numId w:val="1010"/>
        </w:numPr>
      </w:pPr>
      <w:r>
        <w:t xml:space="preserve">If dimer was positive the patient went to CTA.</w:t>
      </w:r>
    </w:p>
    <w:p>
      <w:pPr>
        <w:pStyle w:val="Compact"/>
        <w:numPr>
          <w:ilvl w:val="0"/>
          <w:numId w:val="1010"/>
        </w:numPr>
      </w:pPr>
      <w:r>
        <w:t xml:space="preserve">20.4% of all patients who went to CTA had a diagnosis of PE.</w:t>
      </w:r>
    </w:p>
    <w:p>
      <w:pPr>
        <w:pStyle w:val="Compact"/>
        <w:numPr>
          <w:ilvl w:val="0"/>
          <w:numId w:val="1010"/>
        </w:numPr>
      </w:pPr>
      <w:r>
        <w:t xml:space="preserve">In the “PE unlikely” group, those with a negative dimer and discharged to home had an incidence of missed PE on 3 month follow up of 0.5% 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2024-07-22T20:04:48Z</dcterms:created>
  <dcterms:modified xsi:type="dcterms:W3CDTF">2024-07-22T20:04:48Z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