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B8E" w:rsidRDefault="00F44B8E" w:rsidP="00F44B8E">
      <w:pPr>
        <w:pStyle w:val="a4"/>
        <w:spacing w:before="0" w:beforeAutospacing="0" w:line="360" w:lineRule="atLeast"/>
        <w:rPr>
          <w:rFonts w:ascii="Arial" w:hAnsi="Arial" w:cs="Arial"/>
          <w:color w:val="707070"/>
        </w:rPr>
      </w:pPr>
      <w:r>
        <w:rPr>
          <w:rFonts w:ascii="Arial" w:hAnsi="Arial" w:cs="Arial"/>
          <w:color w:val="707070"/>
        </w:rPr>
        <w:t>Анализ энергопотребления не только подтверждает соответствие строгим отраслевым стандартам, но и выявляет потенциальные возможности для улучшения. Благодаря тщательной оценке анализ энергопотребления устраняет разрыв между теоретическим проектированием и практической функциональностью, гарантируя, что каждый компонент работает с максимальной эффективностью. Этот проце</w:t>
      </w:r>
      <w:proofErr w:type="gramStart"/>
      <w:r>
        <w:rPr>
          <w:rFonts w:ascii="Arial" w:hAnsi="Arial" w:cs="Arial"/>
          <w:color w:val="707070"/>
        </w:rPr>
        <w:t>сс вкл</w:t>
      </w:r>
      <w:proofErr w:type="gramEnd"/>
      <w:r>
        <w:rPr>
          <w:rFonts w:ascii="Arial" w:hAnsi="Arial" w:cs="Arial"/>
          <w:color w:val="707070"/>
        </w:rPr>
        <w:t>ючает в себя несколько ключевых этапов: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Настройка системы</w:t>
      </w:r>
    </w:p>
    <w:p w:rsidR="00F44B8E" w:rsidRDefault="00F44B8E" w:rsidP="00F44B8E">
      <w:pPr>
        <w:pStyle w:val="a4"/>
        <w:spacing w:before="0" w:beforeAutospacing="0" w:line="360" w:lineRule="atLeast"/>
        <w:rPr>
          <w:rFonts w:ascii="Arial" w:hAnsi="Arial" w:cs="Arial"/>
          <w:color w:val="707070"/>
        </w:rPr>
      </w:pPr>
      <w:r>
        <w:rPr>
          <w:rFonts w:ascii="Arial" w:hAnsi="Arial" w:cs="Arial"/>
          <w:color w:val="707070"/>
        </w:rPr>
        <w:t>Перед началом анализа энергопотребления силовая установка электромобиля, включая двигатель и аккумуляторную систему, тщательно подготавливается. Это включает в себя обеспечение надежности всех соединений и калибровку системы для точного измерения электрических параметров.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Захват и обработка сигналов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Измерительные приборы с высокой гальванической изоляцией используются для регистрации электрических сигналов от силовой установки автомобиля. Эти приборы должны точно регистрировать амплитуду и фазу напряжения и тока на различных компонентах, что требует высокой точности для обнаружения аномалий, которые могут повлиять на производительность.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Выбор параметров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Инженеры выбирают соответствующие параметры для измерения, такие как скорость и крутящий момент для механической мощности, а также напряжение и ток постоянного тока для электрической мощности, чтобы оценить эффективность процессов преобразования энергии и выявить потенциальные области для экономии энергии.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Динамический анализ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Полученные сигналы анализируются в динамическом режиме, что позволяет инженерам наблюдать за реакцией силовой установки автомобиля в различных условиях эксплуатации. Это включает в себя тестирование при различных нагрузках для имитации реальных условий движения.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Оценка показателей качества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Оцениваются ключевые показатели качества электроэнергии, такие как гармоники, колебания напряжения и переходные возмущения. Этот этап необходим для обеспечения надежной и эффективной работы транспортного средства в различных условиях окружающей среды и эксплуатации.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Интеграция и визуализация данных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Данные, полученные в результате анализа энергопотребления. Эти инструменты помогают инженерам быстро выявлять закономерности и аномалии в данных, способствуя более глубокому пониманию производительности системы.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lastRenderedPageBreak/>
        <w:t>Оптимизация и устранение неполадок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На основе результатов анализа энергопотребления инженеры могут принимать обоснованные решения по оптимизации конструкции и работы силовой установки электромобиля. Это может включать корректировку алгоритмов управления двигателем или усовершенствование системы управления батареей для повышения общей эффективности и производительности.</w:t>
      </w:r>
    </w:p>
    <w:p w:rsidR="00F44B8E" w:rsidRDefault="00F44B8E" w:rsidP="00F44B8E">
      <w:pPr>
        <w:pStyle w:val="3"/>
        <w:rPr>
          <w:rFonts w:ascii="Arial" w:hAnsi="Arial" w:cs="Arial"/>
          <w:b w:val="0"/>
          <w:bCs w:val="0"/>
          <w:color w:val="3056A8"/>
          <w:sz w:val="30"/>
          <w:szCs w:val="30"/>
        </w:rPr>
      </w:pPr>
      <w:r>
        <w:rPr>
          <w:rFonts w:ascii="Arial" w:hAnsi="Arial" w:cs="Arial"/>
          <w:b w:val="0"/>
          <w:bCs w:val="0"/>
          <w:color w:val="3056A8"/>
          <w:sz w:val="30"/>
          <w:szCs w:val="30"/>
        </w:rPr>
        <w:t>Постоянный мониторинг и обратная связь</w:t>
      </w:r>
    </w:p>
    <w:p w:rsidR="00F44B8E" w:rsidRDefault="00F44B8E" w:rsidP="00F44B8E">
      <w:pPr>
        <w:spacing w:line="360" w:lineRule="atLeast"/>
        <w:rPr>
          <w:rFonts w:ascii="Arial" w:hAnsi="Arial" w:cs="Arial"/>
          <w:color w:val="707070"/>
          <w:sz w:val="24"/>
          <w:szCs w:val="24"/>
        </w:rPr>
      </w:pPr>
      <w:r>
        <w:rPr>
          <w:rFonts w:ascii="Arial" w:hAnsi="Arial" w:cs="Arial"/>
          <w:color w:val="707070"/>
        </w:rPr>
        <w:t>Анализ энергопотребления — это не просто разовая процедура, а непрерывная часть цикла разработки электромобиля. Постоянный мониторинг гарантирует поддержание высоких показателей производительности и надежности автомобиля на протяжении всего срока его службы, а также учет обратной связи при разработке будущих версий конструкции.</w:t>
      </w:r>
    </w:p>
    <w:p w:rsidR="00F44B8E" w:rsidRDefault="00F44B8E" w:rsidP="00F44B8E">
      <w:pPr>
        <w:pStyle w:val="a4"/>
        <w:spacing w:before="0" w:beforeAutospacing="0" w:line="360" w:lineRule="atLeast"/>
        <w:rPr>
          <w:rFonts w:ascii="Arial" w:hAnsi="Arial" w:cs="Arial"/>
          <w:color w:val="707070"/>
        </w:rPr>
      </w:pPr>
      <w:r>
        <w:rPr>
          <w:rFonts w:ascii="Arial" w:hAnsi="Arial" w:cs="Arial"/>
          <w:color w:val="707070"/>
        </w:rPr>
        <w:t>Такой комплексный подход не только расширяет специфические функциональные возможности каждого компонента, но и обеспечивает оптимальную работу интегрированной системы, отражая сложное взаимодействие различных подсистем в электромобиле.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Исследовательская тематика анализа данных испытаний высокоэффективных электродвигателей фокусируется на сборе, обработке и сопоставлении электрических параметров (ток, напряжение, мощность,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cos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φ) с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механическими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(момент, скорость вращения, КПД). Это позволяет выявлять закономерности эффективности, оптимизировать конструкции и прогнозировать надежность. Такие исследования особенно актуальны для стандартов вроде IEC 60034, где требуется точность измерений потерь до 0,5%.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Ключевые характеристики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Электрические характеристики включают зависимость мощности и потерь от напряжения и частоты, а механические — ω = f(M), где угловая скорость зависит от момента на валу. Сопоставление данных выявляет КПД до 99% у синхронных двигателей и 85–90% у бесщеточных DC. В испытаниях применяют синхронную запись сырых данных для анализа колебаний момента и фазовых токов.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Методы анализа данных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Используют модульные системы вроде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Dewesoft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или HBK для измерения 12-фазных моторов, включая скорость, момент и деформацию.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Моделирование (балансовые, одномерные) сравнивают с экспериментами для оптимизации.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Алгоритмы обработки выявляют тренды, прогнозируют отказы и оценивают эффективность при 50–60% нагрузки.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lastRenderedPageBreak/>
        <w:t>Исследовательские направления</w:t>
      </w:r>
    </w:p>
    <w:p w:rsidR="009D657D" w:rsidRPr="009D657D" w:rsidRDefault="009D657D" w:rsidP="009D6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Оптимизация под нагрузкой: сопоставление характеристик для повышения КПД в электроприводах.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Диагностика: цветовые индикаторы и тренды для оценки состояния (зеленый — допустимо, красный — недопустимо).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Сравнение типов: BLDC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vs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.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синхронные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для транспорта и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Formula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Student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Для оценки эффективности высокоэффективных электродвигателей собирают ключевые метрики, отражающие соотношение входной электрической мощности к выходной механической, а также потери энергии. Основные включают КПД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(η), 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коэффициент мощности (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cos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φ), потери в меди, стали и механике. Эти показатели стандартизированы по IEC 60034-30-1 и ГОСТ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Р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54413-2011 для классов IE1–IE5.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Основные метрики</w:t>
      </w:r>
    </w:p>
    <w:p w:rsidR="009D657D" w:rsidRPr="009D657D" w:rsidRDefault="009D657D" w:rsidP="009D6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КПД (η)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: отношение механической мощности на валу (P2)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к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электрической входной (P1), выражается в %; для IE4 достигает 95–96% при номинальной нагрузке.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Коэффициент мощности (</w:t>
      </w:r>
      <w:proofErr w:type="spellStart"/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cos</w:t>
      </w:r>
      <w:proofErr w:type="spellEnd"/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 xml:space="preserve"> φ)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: отношение активной мощности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к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полной; оптимален 0,85–0,95 для снижения реактивных потерь.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Потери мощности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: суммарные (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Pcu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— в обмотках,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Pfe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— в стали,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Pmech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— механические); нормируются для классов IE.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Электрические метрики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Собирают ток (I), напряжение (U), активную (P), реактивную (Q) и полную мощность (S) на разных нагрузках (25%, 50%, 75%, 100%). Зависимость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cos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φ = f(P) и η = f(P) выявляют зону максимальной эффективности.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Механические метрики</w:t>
      </w:r>
    </w:p>
    <w:p w:rsidR="009D657D" w:rsidRPr="009D657D" w:rsidRDefault="009D657D" w:rsidP="009D65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Момент на валу (M), скорость вращения (n или ω), выходная мощность P2 = M × ω / 9550.</w:t>
      </w:r>
    </w:p>
    <w:p w:rsidR="009D657D" w:rsidRPr="009D657D" w:rsidRDefault="009D657D" w:rsidP="009D65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Крутящий момент и колебания для анализа динамики; КПД рассчитывают по формуле η = (P2 / P1) × 100%.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Методы сбора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Используют стенды с точностью 0,2% (например, HBM,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Dewesoft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) для синхронной записи данных по стандартам IEC 60034-2-1. Таблица норм КПД для 4-полюсных двигателей (50 Гц):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FE78B1" w:rsidRDefault="00FE78B1"/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lastRenderedPageBreak/>
        <w:t xml:space="preserve">Для одновременного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логирования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механических параметров электродвигателя во время испытаний используют синхронные датчики (тахометры,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торкметры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, акселерометры) на стендах по IEC 60034-2-1, чтобы избежать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рассинхронизации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данных и точно рассчитывать мощность P2 = M × ω. Основные параметры — скорость вращения, крутящий момент и вибрация — фиксируют с частотой 1–10 кГц для анализа динамики и КПД. Это позволяет выявлять колебания и резонансы в реальном времени.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Основные механические параметры</w:t>
      </w:r>
    </w:p>
    <w:p w:rsidR="009D657D" w:rsidRPr="009D657D" w:rsidRDefault="009D657D" w:rsidP="009D6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Скорость вращения (n или ω)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: угловая скорость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об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/мин или рад/с; измеряют тахометром или по гармоникам тока ротора.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Крутящий момент (M)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: на валу в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Нм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; ключевой для P2, фиксируют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торкметром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с точностью 0,1%.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Вибрация и ускорение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: амплитуда и частота колебаний в мм/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с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²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для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диагностики подшипников и резонанса.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Дополнительные параметры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Логируют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нагрузку (механическую мощность P2), температуру подшипников и деформацию вала для оценки усталости и теплового расширения. Эти данные синхронизируют с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электрическими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для полной характеристики η = f(n, M).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 xml:space="preserve">Методы </w:t>
      </w:r>
      <w:proofErr w:type="gramStart"/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синхронного</w:t>
      </w:r>
      <w:proofErr w:type="gramEnd"/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 xml:space="preserve"> </w:t>
      </w:r>
      <w:proofErr w:type="spellStart"/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логирования</w:t>
      </w:r>
      <w:proofErr w:type="spellEnd"/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434"/>
        <w:gridCol w:w="2997"/>
        <w:gridCol w:w="2813"/>
      </w:tblGrid>
      <w:tr w:rsidR="009D657D" w:rsidRPr="009D657D" w:rsidTr="009D65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Датчик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Частота </w:t>
            </w:r>
            <w:proofErr w:type="spellStart"/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логирования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Применение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Скорость 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Тахометр/</w:t>
            </w: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энкодер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1–10 кГц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Расчет P2, динамика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Момент (M)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Торкметр</w:t>
            </w:r>
            <w:proofErr w:type="spellEnd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(HBM/</w:t>
            </w: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Dewesoft</w:t>
            </w:r>
            <w:proofErr w:type="spellEnd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 кГц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КПД, нагрузка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Вибрация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Акселерометр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20 кГц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Диагностика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Температура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Термопары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 Гц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Надежность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</w:tbl>
    <w:p w:rsidR="009D657D" w:rsidRDefault="009D657D"/>
    <w:p w:rsidR="009D657D" w:rsidRDefault="009D657D"/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lastRenderedPageBreak/>
        <w:t xml:space="preserve">Синхронизация данных тахометра (скорость n/ω) и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тензодатчика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(момент M через деформацию) необходима для точного расчета механической мощности P2 = M × ω и КПД в реальном времени на испытательных стендах. Обеспечивается аппаратно через общий внешний триггер,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мастер-часы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или DAQ-системы (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Dewesoft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, HBM,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Yokogawa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) с частотой 1–10 кГц и точностью &lt;0,1%. Программно используют временные метки (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timestamps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) или протоколы вроде PTP/IEEE 1588 для компенсации задержек.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Аппаратные методы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Подключают выходы тахометра (импульсы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энкодера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) и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тензодатчика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тензомост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Wheatstone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) напрямую к входам анализатора мощности или мультиканального АЦП с общей тактовой частотой. AC-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эксцитация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(несколько кГц) на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тензодатчике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минимизирует шум и EMF, а синхронизация через SENSE-линии корректирует разницу потенциалов. Для динамических тестов применяют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торкметры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с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встроенным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энкодером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(AS5600 + HX711).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Программные методы</w:t>
      </w:r>
    </w:p>
    <w:p w:rsidR="009D657D" w:rsidRPr="009D657D" w:rsidRDefault="009D657D" w:rsidP="009D65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 DAQ-системах (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DewesoftX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) — автоматическая синхронизация каналов по </w:t>
      </w:r>
      <w:proofErr w:type="gram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мастер-таймеру</w:t>
      </w:r>
      <w:proofErr w:type="gram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с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DualCoreADC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® для </w:t>
      </w:r>
      <w:proofErr w:type="spellStart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субмикросекундной</w:t>
      </w:r>
      <w:proofErr w:type="spellEnd"/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точности.</w:t>
      </w:r>
    </w:p>
    <w:p w:rsidR="009D657D" w:rsidRPr="009D657D" w:rsidRDefault="009D657D" w:rsidP="009D65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 SCADA/RS485 (MODBUS) — обмен пакетами с временными штампами; тахометры считают импульсы за фиксированный интервал или время между ними.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9D657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Постобработка: выравнивание по триггерам (шунт-калибровка) и интерполяция для устранения дрейфа.</w:t>
      </w:r>
      <w:r w:rsidRPr="009D657D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9D657D" w:rsidRPr="009D657D" w:rsidRDefault="009D657D" w:rsidP="009D6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9D657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Рекомендуемая схема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4574"/>
        <w:gridCol w:w="3639"/>
      </w:tblGrid>
      <w:tr w:rsidR="009D657D" w:rsidRPr="009D657D" w:rsidTr="009D65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Подключение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Синхронизация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Тахометр/</w:t>
            </w: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Энкодер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Импульсы → АЦП ch1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Общий триггер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Тензодатчик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Тензомост</w:t>
            </w:r>
            <w:proofErr w:type="spellEnd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→ Усилитель → ch2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AC-</w:t>
            </w: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эксцитация</w:t>
            </w:r>
            <w:proofErr w:type="spellEnd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, SENSE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9D657D" w:rsidRPr="009D657D" w:rsidTr="009D65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DAQ-система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Мультиканал</w:t>
            </w:r>
            <w:proofErr w:type="spellEnd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+ PTP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D657D" w:rsidRPr="009D657D" w:rsidRDefault="009D657D" w:rsidP="009D657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10 кГц, </w:t>
            </w:r>
            <w:proofErr w:type="spellStart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timestamps</w:t>
            </w:r>
            <w:proofErr w:type="spellEnd"/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 </w:t>
            </w:r>
            <w:r w:rsidRPr="009D657D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</w:tbl>
    <w:p w:rsidR="009D657D" w:rsidRDefault="009D657D"/>
    <w:p w:rsidR="003B1D38" w:rsidRPr="003B1D38" w:rsidRDefault="003B1D38" w:rsidP="003B1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lastRenderedPageBreak/>
        <w:t>Потребляемую электрическую мощность на входе электродвигателя (P1) измеряют напрямую с помощью трехфазных анализаторов мощности (</w:t>
      </w:r>
      <w:proofErr w:type="spell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Yokogawa</w:t>
      </w:r>
      <w:proofErr w:type="spell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WT, HBM, </w:t>
      </w:r>
      <w:proofErr w:type="spell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Gantner</w:t>
      </w:r>
      <w:proofErr w:type="spell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GPA) по стандарту IEC 60034-2-1 методом прямого измерения. Приборы фиксируют ток (I), напряжение (U), фазовый угол</w:t>
      </w:r>
      <w:proofErr w:type="gram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(φ) </w:t>
      </w:r>
      <w:proofErr w:type="gram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и вычисляют активную мощность P = √3 × U × I × </w:t>
      </w:r>
      <w:proofErr w:type="spell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cos</w:t>
      </w:r>
      <w:proofErr w:type="spell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φ для трехфазных систем с точностью 0,05–0,2%. Это обеспечивает синхронный расчет КПД без временных сдвигов.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3B1D38" w:rsidRPr="003B1D38" w:rsidRDefault="003B1D38" w:rsidP="003B1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3B1D3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Основные методы измерения</w:t>
      </w:r>
    </w:p>
    <w:p w:rsidR="003B1D38" w:rsidRPr="003B1D38" w:rsidRDefault="003B1D38" w:rsidP="003B1D3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3B1D3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Прямой метод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: анализатор мощности с токовыми клещами (CT) и датчиками напряжения подключают последовательно; измеряют P, Q, S на каждой фазе с FFT для гармоник.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3B1D38" w:rsidRPr="003B1D38" w:rsidRDefault="003B1D38" w:rsidP="003B1D3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3B1D3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Косвенный (</w:t>
      </w:r>
      <w:proofErr w:type="spellStart"/>
      <w:r w:rsidRPr="003B1D3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двухваттметра</w:t>
      </w:r>
      <w:proofErr w:type="spellEnd"/>
      <w:r w:rsidRPr="003B1D3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)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: два ваттметра по схеме Арон для P = W1 + W2; подходит для простых стендов, но менее точен при дисбалансе.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3B1D38" w:rsidRPr="003B1D38" w:rsidRDefault="003B1D38" w:rsidP="003B1D3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3B1D3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Счетчик электроэнергии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: для активной мощности P2 (до/после пуска), затем P1 = P2 / η.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3B1D38" w:rsidRPr="003B1D38" w:rsidRDefault="003B1D38" w:rsidP="003B1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3B1D3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Подключение и калибровка</w:t>
      </w:r>
    </w:p>
    <w:p w:rsidR="003B1D38" w:rsidRPr="003B1D38" w:rsidRDefault="003B1D38" w:rsidP="003B1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Токовые </w:t>
      </w:r>
      <w:proofErr w:type="spell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трансформаеры</w:t>
      </w:r>
      <w:proofErr w:type="spell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(CT 1000:1) и разделители напряжения (1000:1) подключают к 3U+3I каналам анализатора; синхронизируют с механическими данными по PTP/IRIG-B. Калибруют по эталонному источнику (</w:t>
      </w:r>
      <w:proofErr w:type="spell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Fluke</w:t>
      </w:r>
      <w:proofErr w:type="spell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) с </w:t>
      </w:r>
      <w:proofErr w:type="gramStart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шунт-калибровкой</w:t>
      </w:r>
      <w:proofErr w:type="gramEnd"/>
      <w:r w:rsidRPr="003B1D3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; частота дискретизации 10–100 кГц для динамики.</w:t>
      </w:r>
      <w:r w:rsidRPr="003B1D38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​</w:t>
      </w:r>
    </w:p>
    <w:p w:rsidR="003B1D38" w:rsidRPr="003B1D38" w:rsidRDefault="003B1D38" w:rsidP="003B1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3B1D3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Сравнение приборов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894"/>
        <w:gridCol w:w="1718"/>
        <w:gridCol w:w="3896"/>
      </w:tblGrid>
      <w:tr w:rsidR="003B1D38" w:rsidRPr="003B1D38" w:rsidTr="003B1D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Прибор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Точность P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Каналы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Применение</w:t>
            </w:r>
          </w:p>
        </w:tc>
      </w:tr>
      <w:tr w:rsidR="003B1D38" w:rsidRPr="003B1D38" w:rsidTr="003B1D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Yokogawa</w:t>
            </w:r>
            <w:proofErr w:type="spellEnd"/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WT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3U+3I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IE-класс, гармоники </w:t>
            </w: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3B1D38" w:rsidRPr="003B1D38" w:rsidTr="003B1D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HBM </w:t>
            </w:r>
            <w:proofErr w:type="spellStart"/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Genesis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0,1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До 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EV-моторы </w:t>
            </w: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  <w:tr w:rsidR="003B1D38" w:rsidRPr="003B1D38" w:rsidTr="003B1D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Портативный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0,5–1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B1D38" w:rsidRPr="003B1D38" w:rsidRDefault="003B1D38" w:rsidP="003B1D3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Промышленные тесты </w:t>
            </w:r>
            <w:r w:rsidRPr="003B1D38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</w:rPr>
              <w:t>​</w:t>
            </w:r>
          </w:p>
        </w:tc>
      </w:tr>
    </w:tbl>
    <w:p w:rsidR="003B1D38" w:rsidRDefault="003B1D38"/>
    <w:p w:rsidR="00C23CC2" w:rsidRDefault="00C23CC2" w:rsidP="00C23CC2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Синхронизация и интерполяция</w:t>
      </w:r>
    </w:p>
    <w:p w:rsidR="00C23CC2" w:rsidRDefault="00C23CC2" w:rsidP="00C23CC2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Синхронизируют данные по временным меткам с интерполяцией: линейной </w:t>
      </w:r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x(t)=x1+t−t1t2−t1(x2−x1)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t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1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t</w:t>
      </w:r>
      <w:r>
        <w:rPr>
          <w:rStyle w:val="mord"/>
          <w:spacing w:val="2"/>
          <w:sz w:val="14"/>
          <w:szCs w:val="14"/>
          <w:bdr w:val="single" w:sz="2" w:space="0" w:color="auto" w:frame="1"/>
        </w:rPr>
        <w:t>2</w:t>
      </w:r>
      <w:r>
        <w:rPr>
          <w:rStyle w:val="mbin"/>
          <w:spacing w:val="2"/>
          <w:sz w:val="20"/>
          <w:szCs w:val="20"/>
          <w:bdr w:val="single" w:sz="2" w:space="0" w:color="auto" w:frame="1"/>
        </w:rPr>
        <w:t>−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t</w:t>
      </w:r>
      <w:r>
        <w:rPr>
          <w:rStyle w:val="mord"/>
          <w:spacing w:val="2"/>
          <w:sz w:val="14"/>
          <w:szCs w:val="14"/>
          <w:bdr w:val="single" w:sz="2" w:space="0" w:color="auto" w:frame="1"/>
        </w:rPr>
        <w:t>1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t</w:t>
      </w:r>
      <w:r>
        <w:rPr>
          <w:rStyle w:val="mbin"/>
          <w:spacing w:val="2"/>
          <w:sz w:val="20"/>
          <w:szCs w:val="20"/>
          <w:bdr w:val="single" w:sz="2" w:space="0" w:color="auto" w:frame="1"/>
        </w:rPr>
        <w:t>−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t</w:t>
      </w:r>
      <w:r>
        <w:rPr>
          <w:rStyle w:val="mord"/>
          <w:spacing w:val="2"/>
          <w:sz w:val="14"/>
          <w:szCs w:val="14"/>
          <w:bdr w:val="single" w:sz="2" w:space="0" w:color="auto" w:frame="1"/>
        </w:rPr>
        <w:t>1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2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1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Fonts w:ascii="Segoe UI" w:hAnsi="Segoe UI" w:cs="Segoe UI"/>
          <w:spacing w:val="2"/>
        </w:rPr>
        <w:t xml:space="preserve"> или кубической сплайновой для </w:t>
      </w:r>
      <w:proofErr w:type="spellStart"/>
      <w:r>
        <w:rPr>
          <w:rFonts w:ascii="Segoe UI" w:hAnsi="Segoe UI" w:cs="Segoe UI"/>
          <w:spacing w:val="2"/>
        </w:rPr>
        <w:t>субмикросекундной</w:t>
      </w:r>
      <w:proofErr w:type="spellEnd"/>
      <w:r>
        <w:rPr>
          <w:rFonts w:ascii="Segoe UI" w:hAnsi="Segoe UI" w:cs="Segoe UI"/>
          <w:spacing w:val="2"/>
        </w:rPr>
        <w:t xml:space="preserve"> точности. Фазовая автоподстройка (NLMS-алгоритм) корректирует сдвиги: </w:t>
      </w:r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w(n+1)=w(n)+</w:t>
      </w:r>
      <w:proofErr w:type="spellStart"/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μe</w:t>
      </w:r>
      <w:proofErr w:type="spellEnd"/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(n)x(n)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w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n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spacing w:val="2"/>
          <w:sz w:val="29"/>
          <w:szCs w:val="29"/>
          <w:bdr w:val="single" w:sz="2" w:space="0" w:color="auto" w:frame="1"/>
        </w:rPr>
        <w:t>1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w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n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proofErr w:type="spellStart"/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μe</w:t>
      </w:r>
      <w:proofErr w:type="spellEnd"/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n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n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Fonts w:ascii="Segoe UI" w:hAnsi="Segoe UI" w:cs="Segoe UI"/>
          <w:spacing w:val="2"/>
        </w:rPr>
        <w:t xml:space="preserve">, </w:t>
      </w:r>
      <w:proofErr w:type="spellStart"/>
      <w:r>
        <w:rPr>
          <w:rFonts w:ascii="Segoe UI" w:hAnsi="Segoe UI" w:cs="Segoe UI"/>
          <w:spacing w:val="2"/>
        </w:rPr>
        <w:t>минимизируя</w:t>
      </w:r>
      <w:proofErr w:type="spellEnd"/>
      <w:r>
        <w:rPr>
          <w:rFonts w:ascii="Segoe UI" w:hAnsi="Segoe UI" w:cs="Segoe UI"/>
          <w:spacing w:val="2"/>
        </w:rPr>
        <w:t xml:space="preserve"> ошибку для U, I, M, n.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:rsidR="00C23CC2" w:rsidRDefault="00C23CC2" w:rsidP="00C23CC2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Фильтрация и спектральный анализ</w:t>
      </w:r>
    </w:p>
    <w:p w:rsidR="00C23CC2" w:rsidRDefault="00C23CC2" w:rsidP="00C23CC2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FFT для гармоник: </w:t>
      </w:r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X(k)=∑n=0N−1x(n)e−j2π</w:t>
      </w:r>
      <w:proofErr w:type="spellStart"/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kn</w:t>
      </w:r>
      <w:proofErr w:type="spellEnd"/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/N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k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p"/>
          <w:rFonts w:ascii="KaTeX_Size1" w:hAnsi="KaTeX_Size1"/>
          <w:spacing w:val="2"/>
          <w:sz w:val="29"/>
          <w:szCs w:val="29"/>
          <w:bdr w:val="single" w:sz="2" w:space="0" w:color="auto" w:frame="1"/>
        </w:rPr>
        <w:t>∑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n</w:t>
      </w:r>
      <w:r>
        <w:rPr>
          <w:rStyle w:val="mrel"/>
          <w:spacing w:val="2"/>
          <w:sz w:val="20"/>
          <w:szCs w:val="20"/>
          <w:bdr w:val="single" w:sz="2" w:space="0" w:color="auto" w:frame="1"/>
        </w:rPr>
        <w:t>=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0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N</w:t>
      </w:r>
      <w:r>
        <w:rPr>
          <w:rStyle w:val="mbin"/>
          <w:spacing w:val="2"/>
          <w:sz w:val="20"/>
          <w:szCs w:val="20"/>
          <w:bdr w:val="single" w:sz="2" w:space="0" w:color="auto" w:frame="1"/>
        </w:rPr>
        <w:t>−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1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open"/>
          <w:spacing w:val="2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n</w:t>
      </w:r>
      <w:r>
        <w:rPr>
          <w:rStyle w:val="mclose"/>
          <w:spacing w:val="2"/>
          <w:sz w:val="29"/>
          <w:szCs w:val="29"/>
          <w:bdr w:val="single" w:sz="2" w:space="0" w:color="auto" w:frame="1"/>
        </w:rPr>
        <w:t>)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e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−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j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2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π</w:t>
      </w:r>
      <w:proofErr w:type="spellStart"/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kn</w:t>
      </w:r>
      <w:proofErr w:type="spellEnd"/>
      <w:r>
        <w:rPr>
          <w:rStyle w:val="mord"/>
          <w:spacing w:val="2"/>
          <w:sz w:val="20"/>
          <w:szCs w:val="20"/>
          <w:bdr w:val="single" w:sz="2" w:space="0" w:color="auto" w:frame="1"/>
        </w:rPr>
        <w:t>/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N</w:t>
      </w:r>
      <w:r>
        <w:rPr>
          <w:rFonts w:ascii="Segoe UI" w:hAnsi="Segoe UI" w:cs="Segoe UI"/>
          <w:spacing w:val="2"/>
        </w:rPr>
        <w:t>; SSA/SVD разлагают на компоненты: </w:t>
      </w:r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X=UΣVT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X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U</w:t>
      </w:r>
      <w:r>
        <w:rPr>
          <w:rStyle w:val="mord"/>
          <w:spacing w:val="2"/>
          <w:sz w:val="29"/>
          <w:szCs w:val="29"/>
          <w:bdr w:val="single" w:sz="2" w:space="0" w:color="auto" w:frame="1"/>
        </w:rPr>
        <w:t>Σ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V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T</w:t>
      </w:r>
      <w:r>
        <w:rPr>
          <w:rFonts w:ascii="Segoe UI" w:hAnsi="Segoe UI" w:cs="Segoe UI"/>
          <w:spacing w:val="2"/>
        </w:rPr>
        <w:t> для удаления трендов/шума в вибрации. Адаптивные фильтры LMS/NLMS подавляют 50 Гц и резонансы.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:rsidR="00C23CC2" w:rsidRDefault="00C23CC2" w:rsidP="00C23CC2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Регрессия и моделирование</w:t>
      </w:r>
    </w:p>
    <w:p w:rsidR="00C23CC2" w:rsidRDefault="00C23CC2" w:rsidP="00C23CC2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Полиномиальная аппроксимация η(P): </w:t>
      </w:r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η=aP3+bP2+cP+d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η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aP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3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bP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2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cP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d</w:t>
      </w:r>
      <w:r>
        <w:rPr>
          <w:rFonts w:ascii="Segoe UI" w:hAnsi="Segoe UI" w:cs="Segoe UI"/>
          <w:spacing w:val="2"/>
        </w:rPr>
        <w:t> по OLS; балансовый метод </w:t>
      </w:r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P1=P2+Pcu+Pfe+Pmech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P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1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P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2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P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cu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P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fe</w:t>
      </w:r>
      <w:r>
        <w:rPr>
          <w:rStyle w:val="mbin"/>
          <w:spacing w:val="2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P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mech</w:t>
      </w:r>
      <w:r>
        <w:rPr>
          <w:rFonts w:ascii="Segoe UI" w:hAnsi="Segoe UI" w:cs="Segoe UI"/>
          <w:spacing w:val="2"/>
        </w:rPr>
        <w:t>, где </w:t>
      </w:r>
      <w:proofErr w:type="spellStart"/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Pcu</w:t>
      </w:r>
      <w:proofErr w:type="spellEnd"/>
      <w:r>
        <w:rPr>
          <w:rStyle w:val="katex-mathml"/>
          <w:rFonts w:eastAsiaTheme="majorEastAsia"/>
          <w:spacing w:val="2"/>
          <w:sz w:val="29"/>
          <w:szCs w:val="29"/>
          <w:bdr w:val="none" w:sz="0" w:space="0" w:color="auto" w:frame="1"/>
        </w:rPr>
        <w:t>=3I2R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P</w:t>
      </w:r>
      <w:r>
        <w:rPr>
          <w:rStyle w:val="mord"/>
          <w:rFonts w:ascii="KaTeX_Math" w:hAnsi="KaTeX_Math"/>
          <w:i/>
          <w:iCs/>
          <w:spacing w:val="2"/>
          <w:sz w:val="20"/>
          <w:szCs w:val="20"/>
          <w:bdr w:val="single" w:sz="2" w:space="0" w:color="auto" w:frame="1"/>
        </w:rPr>
        <w:t>cu</w:t>
      </w:r>
      <w:r>
        <w:rPr>
          <w:rStyle w:val="mrel"/>
          <w:spacing w:val="2"/>
          <w:sz w:val="29"/>
          <w:szCs w:val="29"/>
          <w:bdr w:val="single" w:sz="2" w:space="0" w:color="auto" w:frame="1"/>
        </w:rPr>
        <w:t>=</w:t>
      </w:r>
      <w:r>
        <w:rPr>
          <w:rStyle w:val="mord"/>
          <w:spacing w:val="2"/>
          <w:sz w:val="29"/>
          <w:szCs w:val="29"/>
          <w:bdr w:val="single" w:sz="2" w:space="0" w:color="auto" w:frame="1"/>
        </w:rPr>
        <w:t>3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I</w:t>
      </w:r>
      <w:r>
        <w:rPr>
          <w:rStyle w:val="mord"/>
          <w:spacing w:val="2"/>
          <w:sz w:val="20"/>
          <w:szCs w:val="20"/>
          <w:bdr w:val="single" w:sz="2" w:space="0" w:color="auto" w:frame="1"/>
        </w:rPr>
        <w:t>2</w:t>
      </w:r>
      <w:r>
        <w:rPr>
          <w:rStyle w:val="mord"/>
          <w:rFonts w:ascii="KaTeX_Math" w:hAnsi="KaTeX_Math"/>
          <w:i/>
          <w:iCs/>
          <w:spacing w:val="2"/>
          <w:sz w:val="29"/>
          <w:szCs w:val="29"/>
          <w:bdr w:val="single" w:sz="2" w:space="0" w:color="auto" w:frame="1"/>
        </w:rPr>
        <w:t>R</w:t>
      </w:r>
      <w:r>
        <w:rPr>
          <w:rFonts w:ascii="Segoe UI" w:hAnsi="Segoe UI" w:cs="Segoe UI"/>
          <w:spacing w:val="2"/>
        </w:rPr>
        <w:t>. FEA для ψ(</w:t>
      </w:r>
      <w:proofErr w:type="spellStart"/>
      <w:r>
        <w:rPr>
          <w:rFonts w:ascii="Segoe UI" w:hAnsi="Segoe UI" w:cs="Segoe UI"/>
          <w:spacing w:val="2"/>
        </w:rPr>
        <w:t>i,θ</w:t>
      </w:r>
      <w:proofErr w:type="spellEnd"/>
      <w:r>
        <w:rPr>
          <w:rFonts w:ascii="Segoe UI" w:hAnsi="Segoe UI" w:cs="Segoe UI"/>
          <w:spacing w:val="2"/>
        </w:rPr>
        <w:t>) LUT.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:rsidR="00C23CC2" w:rsidRDefault="00C23CC2">
      <w:bookmarkStart w:id="0" w:name="_GoBack"/>
      <w:bookmarkEnd w:id="0"/>
    </w:p>
    <w:sectPr w:rsidR="00C23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77D33"/>
    <w:multiLevelType w:val="multilevel"/>
    <w:tmpl w:val="DA9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14330E2"/>
    <w:multiLevelType w:val="multilevel"/>
    <w:tmpl w:val="0B2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1C502B7"/>
    <w:multiLevelType w:val="multilevel"/>
    <w:tmpl w:val="A72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B4763D6"/>
    <w:multiLevelType w:val="multilevel"/>
    <w:tmpl w:val="92A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C4676C3"/>
    <w:multiLevelType w:val="multilevel"/>
    <w:tmpl w:val="AF0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C9379A2"/>
    <w:multiLevelType w:val="multilevel"/>
    <w:tmpl w:val="173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A83"/>
    <w:rsid w:val="003B1D38"/>
    <w:rsid w:val="00564A83"/>
    <w:rsid w:val="009D657D"/>
    <w:rsid w:val="00C23CC2"/>
    <w:rsid w:val="00F44B8E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6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B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65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9D6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D65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44B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F44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23CC2"/>
  </w:style>
  <w:style w:type="character" w:customStyle="1" w:styleId="mord">
    <w:name w:val="mord"/>
    <w:basedOn w:val="a0"/>
    <w:rsid w:val="00C23CC2"/>
  </w:style>
  <w:style w:type="character" w:customStyle="1" w:styleId="mopen">
    <w:name w:val="mopen"/>
    <w:basedOn w:val="a0"/>
    <w:rsid w:val="00C23CC2"/>
  </w:style>
  <w:style w:type="character" w:customStyle="1" w:styleId="mclose">
    <w:name w:val="mclose"/>
    <w:basedOn w:val="a0"/>
    <w:rsid w:val="00C23CC2"/>
  </w:style>
  <w:style w:type="character" w:customStyle="1" w:styleId="mrel">
    <w:name w:val="mrel"/>
    <w:basedOn w:val="a0"/>
    <w:rsid w:val="00C23CC2"/>
  </w:style>
  <w:style w:type="character" w:customStyle="1" w:styleId="mbin">
    <w:name w:val="mbin"/>
    <w:basedOn w:val="a0"/>
    <w:rsid w:val="00C23CC2"/>
  </w:style>
  <w:style w:type="character" w:customStyle="1" w:styleId="mop">
    <w:name w:val="mop"/>
    <w:basedOn w:val="a0"/>
    <w:rsid w:val="00C23C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6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B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65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9D6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D65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44B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F44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23CC2"/>
  </w:style>
  <w:style w:type="character" w:customStyle="1" w:styleId="mord">
    <w:name w:val="mord"/>
    <w:basedOn w:val="a0"/>
    <w:rsid w:val="00C23CC2"/>
  </w:style>
  <w:style w:type="character" w:customStyle="1" w:styleId="mopen">
    <w:name w:val="mopen"/>
    <w:basedOn w:val="a0"/>
    <w:rsid w:val="00C23CC2"/>
  </w:style>
  <w:style w:type="character" w:customStyle="1" w:styleId="mclose">
    <w:name w:val="mclose"/>
    <w:basedOn w:val="a0"/>
    <w:rsid w:val="00C23CC2"/>
  </w:style>
  <w:style w:type="character" w:customStyle="1" w:styleId="mrel">
    <w:name w:val="mrel"/>
    <w:basedOn w:val="a0"/>
    <w:rsid w:val="00C23CC2"/>
  </w:style>
  <w:style w:type="character" w:customStyle="1" w:styleId="mbin">
    <w:name w:val="mbin"/>
    <w:basedOn w:val="a0"/>
    <w:rsid w:val="00C23CC2"/>
  </w:style>
  <w:style w:type="character" w:customStyle="1" w:styleId="mop">
    <w:name w:val="mop"/>
    <w:basedOn w:val="a0"/>
    <w:rsid w:val="00C23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7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1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925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67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95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5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5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1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5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28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3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5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1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8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5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3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535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9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8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3262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999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4708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00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9478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1649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Микулич</dc:creator>
  <cp:lastModifiedBy>Станислав Микулич</cp:lastModifiedBy>
  <cp:revision>5</cp:revision>
  <dcterms:created xsi:type="dcterms:W3CDTF">2025-12-17T18:17:00Z</dcterms:created>
  <dcterms:modified xsi:type="dcterms:W3CDTF">2025-12-17T19:17:00Z</dcterms:modified>
</cp:coreProperties>
</file>