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плато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29536F">
        <w:rPr>
          <w:rFonts w:eastAsia="Times New Roman"/>
          <w:sz w:val="28"/>
          <w:szCs w:val="28"/>
          <w:highlight w:val="yellow"/>
        </w:rPr>
        <w:t>Информационная система для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об авто</w:t>
      </w:r>
      <w:bookmarkStart w:id="23" w:name="_GoBack"/>
      <w:bookmarkEnd w:id="23"/>
      <w:r w:rsidRPr="004D617A">
        <w:rPr>
          <w:rFonts w:eastAsia="Times New Roman"/>
          <w:sz w:val="28"/>
          <w:szCs w:val="28"/>
        </w:rPr>
        <w:t>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4" w:name="_Toc86485667"/>
      <w:bookmarkStart w:id="25" w:name="_Toc86486005"/>
      <w:bookmarkStart w:id="26" w:name="_Toc86568959"/>
      <w:bookmarkStart w:id="27" w:name="_Toc86569672"/>
      <w:bookmarkStart w:id="28" w:name="_Toc187486"/>
      <w:bookmarkStart w:id="29" w:name="_Toc189300"/>
      <w:bookmarkStart w:id="30" w:name="_Toc99359335"/>
      <w:bookmarkStart w:id="31" w:name="_Toc99359387"/>
      <w:bookmarkStart w:id="32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4"/>
      <w:bookmarkEnd w:id="25"/>
      <w:bookmarkEnd w:id="26"/>
      <w:bookmarkEnd w:id="27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8"/>
      <w:bookmarkEnd w:id="29"/>
      <w:bookmarkEnd w:id="30"/>
      <w:bookmarkEnd w:id="31"/>
      <w:bookmarkEnd w:id="32"/>
    </w:p>
    <w:p w:rsidR="00E9715F" w:rsidRPr="004D617A" w:rsidRDefault="00E9715F" w:rsidP="004D617A">
      <w:pPr>
        <w:pStyle w:val="2"/>
      </w:pPr>
      <w:bookmarkStart w:id="33" w:name="_Toc99359336"/>
      <w:bookmarkStart w:id="34" w:name="_Toc99359388"/>
      <w:bookmarkStart w:id="35" w:name="_Toc99360260"/>
      <w:r w:rsidRPr="004D617A">
        <w:t>2.1 Разработка модели данных</w:t>
      </w:r>
      <w:bookmarkEnd w:id="33"/>
      <w:bookmarkEnd w:id="34"/>
      <w:bookmarkEnd w:id="35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6" w:name="_Hlk99627367"/>
      <w:r w:rsidRPr="004D617A">
        <w:rPr>
          <w:sz w:val="28"/>
        </w:rPr>
        <w:t>Диаграмма классов форм приложения</w:t>
      </w:r>
      <w:bookmarkEnd w:id="36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7" w:name="_Toc187487"/>
      <w:bookmarkStart w:id="38" w:name="_Toc189301"/>
      <w:bookmarkStart w:id="39" w:name="_Toc99359337"/>
      <w:bookmarkStart w:id="40" w:name="_Toc99359389"/>
      <w:bookmarkStart w:id="41" w:name="_Toc99360261"/>
      <w:r w:rsidRPr="004D617A">
        <w:t>2.2 Выбор программного обеспечения</w:t>
      </w:r>
      <w:bookmarkEnd w:id="37"/>
      <w:bookmarkEnd w:id="38"/>
      <w:bookmarkEnd w:id="39"/>
      <w:bookmarkEnd w:id="40"/>
      <w:bookmarkEnd w:id="41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2" w:name="_Toc99359338"/>
      <w:bookmarkStart w:id="43" w:name="_Toc99359390"/>
      <w:bookmarkStart w:id="44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2"/>
      <w:bookmarkEnd w:id="43"/>
      <w:bookmarkEnd w:id="44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7D46F3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9B3" w:rsidRDefault="009949B3">
      <w:r>
        <w:separator/>
      </w:r>
    </w:p>
  </w:endnote>
  <w:endnote w:type="continuationSeparator" w:id="0">
    <w:p w:rsidR="009949B3" w:rsidRDefault="0099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7D46F3" w:rsidRDefault="007D46F3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7D46F3" w:rsidRDefault="007D46F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7D46F3" w:rsidRDefault="007D46F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9B3" w:rsidRDefault="009949B3">
      <w:r>
        <w:separator/>
      </w:r>
    </w:p>
  </w:footnote>
  <w:footnote w:type="continuationSeparator" w:id="0">
    <w:p w:rsidR="009949B3" w:rsidRDefault="00994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EB7428" w:rsidRDefault="007D46F3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7D46F3" w:rsidRPr="006A08C0" w:rsidRDefault="007D46F3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C845B0" w:rsidRDefault="007D46F3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EB7428" w:rsidRDefault="007D46F3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7D46F3" w:rsidRPr="006A08C0" w:rsidRDefault="007D46F3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D46F3" w:rsidRPr="00C845B0" w:rsidRDefault="007D46F3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49B3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0428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BD5D-63B9-484E-B2C4-DF9F7243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23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28</cp:revision>
  <cp:lastPrinted>2006-01-13T18:05:00Z</cp:lastPrinted>
  <dcterms:created xsi:type="dcterms:W3CDTF">2022-04-06T07:19:00Z</dcterms:created>
  <dcterms:modified xsi:type="dcterms:W3CDTF">2022-04-25T10:21:00Z</dcterms:modified>
</cp:coreProperties>
</file>