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9A0824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9A0824">
        <w:rPr>
          <w:sz w:val="28"/>
          <w:szCs w:val="28"/>
        </w:rPr>
        <w:t>управления контрагентами</w:t>
      </w:r>
      <w:r w:rsidR="00E537D0" w:rsidRPr="004D617A">
        <w:rPr>
          <w:sz w:val="28"/>
          <w:szCs w:val="28"/>
        </w:rPr>
        <w:t xml:space="preserve"> организации</w:t>
      </w:r>
      <w:r w:rsidRPr="004D617A">
        <w:rPr>
          <w:sz w:val="28"/>
        </w:rPr>
        <w:t>».</w:t>
      </w:r>
    </w:p>
    <w:p w:rsidR="00472EF5" w:rsidRPr="0048285C" w:rsidRDefault="00C740D9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  <w:szCs w:val="28"/>
        </w:rPr>
        <w:t xml:space="preserve">Автоматизация </w:t>
      </w:r>
      <w:r w:rsidR="00F1535E" w:rsidRPr="0048285C">
        <w:rPr>
          <w:sz w:val="28"/>
          <w:szCs w:val="28"/>
        </w:rPr>
        <w:t xml:space="preserve">учета </w:t>
      </w:r>
      <w:r w:rsidR="00F0535D" w:rsidRPr="0048285C">
        <w:rPr>
          <w:sz w:val="28"/>
          <w:szCs w:val="28"/>
        </w:rPr>
        <w:t>контрагентов</w:t>
      </w:r>
      <w:r w:rsidR="008D37A9" w:rsidRPr="0048285C">
        <w:rPr>
          <w:sz w:val="28"/>
          <w:szCs w:val="28"/>
        </w:rPr>
        <w:t xml:space="preserve"> </w:t>
      </w:r>
      <w:r w:rsidRPr="0048285C">
        <w:rPr>
          <w:sz w:val="28"/>
          <w:szCs w:val="28"/>
        </w:rPr>
        <w:t xml:space="preserve">позволит сократить время на </w:t>
      </w:r>
      <w:r w:rsidR="008D37A9" w:rsidRPr="0048285C">
        <w:rPr>
          <w:sz w:val="28"/>
          <w:szCs w:val="28"/>
        </w:rPr>
        <w:t xml:space="preserve">оформление </w:t>
      </w:r>
      <w:r w:rsidR="00E537D0" w:rsidRPr="0048285C">
        <w:rPr>
          <w:sz w:val="28"/>
          <w:szCs w:val="28"/>
        </w:rPr>
        <w:t xml:space="preserve">и учет </w:t>
      </w:r>
      <w:r w:rsidR="0048285C" w:rsidRPr="0048285C">
        <w:rPr>
          <w:sz w:val="28"/>
          <w:szCs w:val="28"/>
        </w:rPr>
        <w:t>договоров</w:t>
      </w:r>
      <w:r w:rsidR="0011325D" w:rsidRPr="0048285C">
        <w:rPr>
          <w:sz w:val="28"/>
          <w:szCs w:val="28"/>
        </w:rPr>
        <w:t xml:space="preserve">, </w:t>
      </w:r>
      <w:r w:rsidRPr="0048285C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8285C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 xml:space="preserve">Целью курсового проекта является разработка </w:t>
      </w:r>
      <w:r w:rsidR="0056130C" w:rsidRPr="0048285C">
        <w:rPr>
          <w:sz w:val="28"/>
        </w:rPr>
        <w:t>программного продукта в среде Visual Studio на языке C#</w:t>
      </w:r>
      <w:r w:rsidRPr="0048285C">
        <w:rPr>
          <w:sz w:val="28"/>
        </w:rPr>
        <w:t>, позволяющее</w:t>
      </w:r>
      <w:r w:rsidR="0056130C" w:rsidRPr="0048285C">
        <w:rPr>
          <w:sz w:val="28"/>
        </w:rPr>
        <w:t xml:space="preserve"> хранить данные о</w:t>
      </w:r>
      <w:r w:rsidR="0011325D" w:rsidRPr="0048285C">
        <w:rPr>
          <w:sz w:val="28"/>
        </w:rPr>
        <w:t xml:space="preserve"> </w:t>
      </w:r>
      <w:r w:rsidR="0048285C" w:rsidRPr="0048285C">
        <w:rPr>
          <w:sz w:val="28"/>
        </w:rPr>
        <w:t>контрагентах, их договорах, расчетных счетах и кураторах</w:t>
      </w:r>
      <w:r w:rsidR="0056130C" w:rsidRPr="0048285C">
        <w:rPr>
          <w:sz w:val="28"/>
        </w:rPr>
        <w:t xml:space="preserve"> в базе данных.</w:t>
      </w:r>
      <w:r w:rsidR="0031207A" w:rsidRPr="0048285C">
        <w:rPr>
          <w:sz w:val="28"/>
        </w:rPr>
        <w:t xml:space="preserve"> Приложение помогает осуществлять поиск в таблицах, формировать и выводить отчеты о </w:t>
      </w:r>
      <w:r w:rsidR="0048285C" w:rsidRPr="0048285C">
        <w:rPr>
          <w:sz w:val="28"/>
        </w:rPr>
        <w:t>договорах</w:t>
      </w:r>
      <w:r w:rsidR="0031207A" w:rsidRPr="0048285C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Информационная система для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автоматизированное, что уменьшит затраты времени;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proofErr w:type="gramStart"/>
      <w:r w:rsidR="00B02B72">
        <w:rPr>
          <w:rFonts w:eastAsia="Times New Roman"/>
          <w:sz w:val="28"/>
          <w:szCs w:val="28"/>
        </w:rPr>
        <w:t>с вкладками</w:t>
      </w:r>
      <w:proofErr w:type="gramEnd"/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99F" w:rsidRPr="00C55B40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AC546B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3669EF" w:rsidRPr="00C55B40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Запуск прог</w:t>
            </w:r>
            <w:bookmarkStart w:id="36" w:name="_GoBack"/>
            <w:bookmarkEnd w:id="36"/>
            <w:r w:rsidRPr="00F204D2">
              <w:rPr>
                <w:rFonts w:eastAsia="Calibri"/>
                <w:sz w:val="28"/>
                <w:szCs w:val="28"/>
                <w:highlight w:val="yellow"/>
              </w:rPr>
              <w:t>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Выбор вкладки «</w:t>
            </w:r>
            <w:r w:rsidRPr="00F204D2">
              <w:rPr>
                <w:sz w:val="28"/>
                <w:szCs w:val="28"/>
                <w:highlight w:val="yellow"/>
              </w:rPr>
              <w:t>Сотрудники</w:t>
            </w:r>
            <w:r w:rsidRPr="00F204D2">
              <w:rPr>
                <w:rFonts w:eastAsia="Calibri"/>
                <w:sz w:val="28"/>
                <w:szCs w:val="28"/>
                <w:highlight w:val="yellow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Открывается вкладка «</w:t>
            </w:r>
            <w:r w:rsidRPr="00F204D2">
              <w:rPr>
                <w:sz w:val="28"/>
                <w:szCs w:val="28"/>
                <w:highlight w:val="yellow"/>
              </w:rPr>
              <w:t>Сотрудники</w:t>
            </w:r>
            <w:r w:rsidRPr="00F204D2">
              <w:rPr>
                <w:rFonts w:eastAsia="Calibri"/>
                <w:sz w:val="28"/>
                <w:szCs w:val="28"/>
                <w:highlight w:val="yellow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Внесение данных 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F204D2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highlight w:val="yellow"/>
              </w:rPr>
            </w:pPr>
            <w:r w:rsidRPr="00F204D2">
              <w:rPr>
                <w:rFonts w:eastAsia="Calibri"/>
                <w:sz w:val="28"/>
                <w:szCs w:val="28"/>
                <w:highlight w:val="yellow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E747BD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E747BD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7" w:name="_Toc187487"/>
      <w:bookmarkStart w:id="38" w:name="_Toc189301"/>
      <w:bookmarkStart w:id="39" w:name="_Toc99359337"/>
      <w:bookmarkStart w:id="40" w:name="_Toc99359389"/>
      <w:bookmarkStart w:id="41" w:name="_Toc99360261"/>
      <w:r w:rsidRPr="004D617A">
        <w:t>2.2 Выбор программного обеспечения</w:t>
      </w:r>
      <w:bookmarkEnd w:id="37"/>
      <w:bookmarkEnd w:id="38"/>
      <w:bookmarkEnd w:id="39"/>
      <w:bookmarkEnd w:id="40"/>
      <w:bookmarkEnd w:id="41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2" w:name="_Toc99359338"/>
      <w:bookmarkStart w:id="43" w:name="_Toc99359390"/>
      <w:bookmarkStart w:id="44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2"/>
      <w:bookmarkEnd w:id="43"/>
      <w:bookmarkEnd w:id="44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F0535D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F0535D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F0535D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2E4" w:rsidRDefault="009152E4">
      <w:r>
        <w:separator/>
      </w:r>
    </w:p>
  </w:endnote>
  <w:endnote w:type="continuationSeparator" w:id="0">
    <w:p w:rsidR="009152E4" w:rsidRDefault="0091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35D" w:rsidRDefault="00F0535D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F0535D" w:rsidRDefault="00F0535D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35D" w:rsidRDefault="00F0535D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F0535D" w:rsidRDefault="00F0535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35D" w:rsidRDefault="00F0535D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F0535D" w:rsidRDefault="00F0535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2E4" w:rsidRDefault="009152E4">
      <w:r>
        <w:separator/>
      </w:r>
    </w:p>
  </w:footnote>
  <w:footnote w:type="continuationSeparator" w:id="0">
    <w:p w:rsidR="009152E4" w:rsidRDefault="00915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35D" w:rsidRDefault="00F0535D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EB7428" w:rsidRDefault="00F0535D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4D617A" w:rsidRDefault="00F0535D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4D617A" w:rsidRDefault="00F0535D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4D617A" w:rsidRDefault="00F0535D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4D617A" w:rsidRDefault="00F0535D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4D617A" w:rsidRDefault="00F0535D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F0535D" w:rsidRPr="006A08C0" w:rsidRDefault="00F0535D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5D" w:rsidRPr="00C845B0" w:rsidRDefault="00F0535D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F0535D" w:rsidRPr="00EB7428" w:rsidRDefault="00F0535D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F0535D" w:rsidRPr="004D617A" w:rsidRDefault="00F0535D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F0535D" w:rsidRPr="004D617A" w:rsidRDefault="00F0535D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F0535D" w:rsidRPr="004D617A" w:rsidRDefault="00F0535D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F0535D" w:rsidRPr="004D617A" w:rsidRDefault="00F0535D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F0535D" w:rsidRPr="004D617A" w:rsidRDefault="00F0535D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F0535D" w:rsidRPr="006A08C0" w:rsidRDefault="00F0535D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0535D" w:rsidRPr="00C845B0" w:rsidRDefault="00F0535D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35D" w:rsidRDefault="00F0535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2B72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B89C0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FB3D-655F-44D1-AE44-816140BF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23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49</cp:revision>
  <cp:lastPrinted>2006-01-13T18:05:00Z</cp:lastPrinted>
  <dcterms:created xsi:type="dcterms:W3CDTF">2022-04-06T07:19:00Z</dcterms:created>
  <dcterms:modified xsi:type="dcterms:W3CDTF">2022-04-07T11:37:00Z</dcterms:modified>
</cp:coreProperties>
</file>