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98E" w:rsidRDefault="00144240">
      <w:pPr>
        <w:spacing w:after="0" w:line="259" w:lineRule="auto"/>
        <w:ind w:left="0" w:firstLine="0"/>
        <w:jc w:val="left"/>
      </w:pPr>
      <w:r>
        <w:rPr>
          <w:noProof/>
        </w:rPr>
        <w:drawing>
          <wp:anchor distT="0" distB="0" distL="114300" distR="114300" simplePos="0" relativeHeight="251658240" behindDoc="0" locked="0" layoutInCell="1" allowOverlap="0">
            <wp:simplePos x="0" y="0"/>
            <wp:positionH relativeFrom="column">
              <wp:posOffset>76</wp:posOffset>
            </wp:positionH>
            <wp:positionV relativeFrom="paragraph">
              <wp:posOffset>-3809</wp:posOffset>
            </wp:positionV>
            <wp:extent cx="1362710" cy="673100"/>
            <wp:effectExtent l="0" t="0" r="0" b="0"/>
            <wp:wrapSquare wrapText="bothSides"/>
            <wp:docPr id="234" name="Picture 234"/>
            <wp:cNvGraphicFramePr/>
            <a:graphic xmlns:a="http://schemas.openxmlformats.org/drawingml/2006/main">
              <a:graphicData uri="http://schemas.openxmlformats.org/drawingml/2006/picture">
                <pic:pic xmlns:pic="http://schemas.openxmlformats.org/drawingml/2006/picture">
                  <pic:nvPicPr>
                    <pic:cNvPr id="234" name="Picture 234"/>
                    <pic:cNvPicPr/>
                  </pic:nvPicPr>
                  <pic:blipFill>
                    <a:blip r:embed="rId8"/>
                    <a:stretch>
                      <a:fillRect/>
                    </a:stretch>
                  </pic:blipFill>
                  <pic:spPr>
                    <a:xfrm>
                      <a:off x="0" y="0"/>
                      <a:ext cx="1362710" cy="673100"/>
                    </a:xfrm>
                    <a:prstGeom prst="rect">
                      <a:avLst/>
                    </a:prstGeom>
                  </pic:spPr>
                </pic:pic>
              </a:graphicData>
            </a:graphic>
          </wp:anchor>
        </w:drawing>
      </w:r>
      <w:r w:rsidR="00D306F5">
        <w:rPr>
          <w:rFonts w:ascii="Arial" w:eastAsia="Arial" w:hAnsi="Arial" w:cs="Arial"/>
        </w:rPr>
        <w:t>ЕВРОПЕЙСКА КОМИСИЯ</w:t>
      </w:r>
      <w:r>
        <w:rPr>
          <w:rFonts w:ascii="Arial" w:eastAsia="Arial" w:hAnsi="Arial" w:cs="Arial"/>
        </w:rPr>
        <w:t xml:space="preserve"> </w:t>
      </w:r>
    </w:p>
    <w:p w:rsidR="00CF398E" w:rsidRDefault="00D306F5">
      <w:pPr>
        <w:spacing w:after="0" w:line="259" w:lineRule="auto"/>
        <w:ind w:left="0" w:firstLine="0"/>
        <w:jc w:val="left"/>
      </w:pPr>
      <w:r>
        <w:rPr>
          <w:rFonts w:ascii="Arial" w:eastAsia="Arial" w:hAnsi="Arial" w:cs="Arial"/>
          <w:sz w:val="16"/>
        </w:rPr>
        <w:t>ГЕНЕРАЛНА ДИРЕКЦИЯ ДАНЪЧНО ОБЛАГАНЕ И МИТНИЧЕСКИ СЪЮЗ</w:t>
      </w:r>
      <w:r w:rsidR="00144240">
        <w:rPr>
          <w:rFonts w:ascii="Arial" w:eastAsia="Arial" w:hAnsi="Arial" w:cs="Arial"/>
          <w:sz w:val="16"/>
        </w:rPr>
        <w:t xml:space="preserve"> </w:t>
      </w:r>
    </w:p>
    <w:p w:rsidR="00CF398E" w:rsidRDefault="00144240">
      <w:pPr>
        <w:spacing w:after="0" w:line="259" w:lineRule="auto"/>
        <w:ind w:left="0" w:firstLine="0"/>
        <w:jc w:val="left"/>
      </w:pPr>
      <w:r>
        <w:rPr>
          <w:rFonts w:ascii="Arial" w:eastAsia="Arial" w:hAnsi="Arial" w:cs="Arial"/>
          <w:sz w:val="16"/>
        </w:rPr>
        <w:t xml:space="preserve"> </w:t>
      </w:r>
    </w:p>
    <w:p w:rsidR="00CF398E" w:rsidRDefault="00144240">
      <w:pPr>
        <w:spacing w:after="69" w:line="259" w:lineRule="auto"/>
        <w:ind w:left="0" w:firstLine="0"/>
        <w:jc w:val="left"/>
      </w:pPr>
      <w:r>
        <w:rPr>
          <w:rFonts w:ascii="Arial" w:eastAsia="Arial" w:hAnsi="Arial" w:cs="Arial"/>
          <w:sz w:val="16"/>
        </w:rPr>
        <w:t xml:space="preserve"> </w:t>
      </w:r>
    </w:p>
    <w:p w:rsidR="00CF398E" w:rsidRDefault="00144240">
      <w:pPr>
        <w:spacing w:after="0" w:line="259" w:lineRule="auto"/>
        <w:ind w:left="0" w:firstLine="0"/>
        <w:jc w:val="left"/>
      </w:pPr>
      <w:r>
        <w:rPr>
          <w:rFonts w:ascii="Arial" w:eastAsia="Arial" w:hAnsi="Arial" w:cs="Arial"/>
        </w:rPr>
        <w:t xml:space="preserve"> </w:t>
      </w:r>
    </w:p>
    <w:p w:rsidR="00CF398E" w:rsidRDefault="00D306F5">
      <w:pPr>
        <w:spacing w:after="12"/>
        <w:ind w:right="13"/>
      </w:pPr>
      <w:r>
        <w:t xml:space="preserve">Брюксел, </w:t>
      </w:r>
      <w:r w:rsidR="00D23636">
        <w:t>9</w:t>
      </w:r>
      <w:r>
        <w:t xml:space="preserve"> </w:t>
      </w:r>
      <w:r w:rsidR="00D23636">
        <w:t>декември</w:t>
      </w:r>
      <w:r w:rsidR="00144240">
        <w:t xml:space="preserve"> 2020 </w:t>
      </w:r>
      <w:r>
        <w:t>г.</w:t>
      </w:r>
    </w:p>
    <w:p w:rsidR="00CF398E" w:rsidRDefault="00144240">
      <w:pPr>
        <w:spacing w:after="757"/>
        <w:ind w:right="13"/>
      </w:pPr>
      <w:r>
        <w:t>REV</w:t>
      </w:r>
      <w:r w:rsidR="00D23636">
        <w:t>3</w:t>
      </w:r>
      <w:r>
        <w:t xml:space="preserve"> –</w:t>
      </w:r>
      <w:r w:rsidR="00D306F5">
        <w:t xml:space="preserve"> замества известие </w:t>
      </w:r>
      <w:r>
        <w:t>(REV</w:t>
      </w:r>
      <w:r w:rsidR="00D23636">
        <w:t>2</w:t>
      </w:r>
      <w:r>
        <w:t xml:space="preserve">) </w:t>
      </w:r>
      <w:r w:rsidR="00D306F5">
        <w:t>от</w:t>
      </w:r>
      <w:r>
        <w:t xml:space="preserve"> </w:t>
      </w:r>
      <w:r w:rsidR="00D23636">
        <w:t>15</w:t>
      </w:r>
      <w:r>
        <w:t xml:space="preserve"> </w:t>
      </w:r>
      <w:r w:rsidR="00D23636">
        <w:t>юни</w:t>
      </w:r>
      <w:r>
        <w:t xml:space="preserve"> 20</w:t>
      </w:r>
      <w:r w:rsidR="00D23636">
        <w:t>20</w:t>
      </w:r>
      <w:r>
        <w:t xml:space="preserve"> </w:t>
      </w:r>
      <w:r w:rsidR="00D306F5">
        <w:t>г.</w:t>
      </w:r>
      <w:r w:rsidR="00D23636">
        <w:rPr>
          <w:rStyle w:val="EndnoteReference"/>
        </w:rPr>
        <w:endnoteReference w:id="1"/>
      </w:r>
    </w:p>
    <w:p w:rsidR="00D306F5" w:rsidRDefault="00D306F5">
      <w:pPr>
        <w:spacing w:after="13" w:line="259" w:lineRule="auto"/>
        <w:ind w:left="36" w:firstLine="0"/>
        <w:jc w:val="center"/>
        <w:rPr>
          <w:b/>
        </w:rPr>
      </w:pPr>
      <w:r>
        <w:rPr>
          <w:b/>
        </w:rPr>
        <w:t>И</w:t>
      </w:r>
      <w:r w:rsidRPr="00D306F5">
        <w:rPr>
          <w:b/>
        </w:rPr>
        <w:t>звестие до заинтересованите страни</w:t>
      </w:r>
    </w:p>
    <w:p w:rsidR="00CF398E" w:rsidRDefault="00144240">
      <w:pPr>
        <w:spacing w:after="13" w:line="259" w:lineRule="auto"/>
        <w:ind w:left="36" w:firstLine="0"/>
        <w:jc w:val="center"/>
      </w:pPr>
      <w:r>
        <w:rPr>
          <w:b/>
        </w:rPr>
        <w:t xml:space="preserve"> </w:t>
      </w:r>
    </w:p>
    <w:p w:rsidR="00CF398E" w:rsidRPr="00D306F5" w:rsidRDefault="00D306F5" w:rsidP="00D306F5">
      <w:pPr>
        <w:spacing w:after="701" w:line="265" w:lineRule="auto"/>
        <w:ind w:left="10" w:right="28"/>
        <w:jc w:val="center"/>
        <w:rPr>
          <w:b/>
          <w:sz w:val="19"/>
        </w:rPr>
      </w:pPr>
      <w:r w:rsidRPr="00D306F5">
        <w:rPr>
          <w:b/>
          <w:sz w:val="19"/>
        </w:rPr>
        <w:t>ОТТЕГЛЯНЕ НА ОБЕДИНЕНОТО КРАЛСТВО И ПРАВИЛАТА НА ЕС</w:t>
      </w:r>
      <w:r>
        <w:rPr>
          <w:b/>
          <w:sz w:val="19"/>
        </w:rPr>
        <w:t xml:space="preserve"> </w:t>
      </w:r>
      <w:r w:rsidRPr="00D306F5">
        <w:rPr>
          <w:b/>
          <w:sz w:val="19"/>
        </w:rPr>
        <w:t xml:space="preserve">В ОБЛАСТТА НА ДАНЪКА ВЪРХУ ДОБАВЕНАТА СТОЙНОСТ ЗА </w:t>
      </w:r>
      <w:r w:rsidR="006E451C">
        <w:rPr>
          <w:b/>
          <w:sz w:val="19"/>
        </w:rPr>
        <w:t>УСЛУГИ</w:t>
      </w:r>
    </w:p>
    <w:p w:rsidR="00CF398E" w:rsidRDefault="00670CB0">
      <w:pPr>
        <w:spacing w:after="331" w:line="259" w:lineRule="auto"/>
        <w:ind w:left="0" w:right="22" w:firstLine="0"/>
        <w:jc w:val="center"/>
      </w:pPr>
      <w:r>
        <w:rPr>
          <w:b/>
        </w:rPr>
        <w:t>Съдържание</w:t>
      </w:r>
      <w:r w:rsidR="00144240">
        <w:rPr>
          <w:b/>
        </w:rPr>
        <w:t xml:space="preserve"> </w:t>
      </w:r>
    </w:p>
    <w:p w:rsidR="00CF398E" w:rsidRDefault="00670CB0">
      <w:pPr>
        <w:ind w:left="10" w:right="13"/>
      </w:pPr>
      <w:r>
        <w:t>ВЪВЕДЕНИЕ</w:t>
      </w:r>
      <w:r w:rsidR="00144240">
        <w:t xml:space="preserve"> ............................................................................................................... 2</w:t>
      </w:r>
      <w:r w:rsidR="00144240">
        <w:rPr>
          <w:rFonts w:ascii="Calibri" w:eastAsia="Calibri" w:hAnsi="Calibri" w:cs="Calibri"/>
          <w:sz w:val="22"/>
        </w:rPr>
        <w:t xml:space="preserve"> </w:t>
      </w:r>
    </w:p>
    <w:p w:rsidR="00CF398E" w:rsidRDefault="00144240">
      <w:pPr>
        <w:tabs>
          <w:tab w:val="right" w:pos="8642"/>
        </w:tabs>
        <w:ind w:left="0" w:firstLine="0"/>
        <w:jc w:val="left"/>
      </w:pPr>
      <w:r>
        <w:t>A.</w:t>
      </w:r>
      <w:r w:rsidR="00670CB0">
        <w:rPr>
          <w:rFonts w:ascii="Calibri" w:eastAsia="Calibri" w:hAnsi="Calibri" w:cs="Calibri"/>
          <w:sz w:val="22"/>
        </w:rPr>
        <w:t xml:space="preserve">  </w:t>
      </w:r>
      <w:r w:rsidR="00670CB0" w:rsidRPr="00670CB0">
        <w:t xml:space="preserve">ПРАВНО ПОЛОЖЕНИЕ </w:t>
      </w:r>
      <w:r w:rsidR="00D23636">
        <w:t>СЛЕД</w:t>
      </w:r>
      <w:r w:rsidR="00670CB0" w:rsidRPr="00670CB0">
        <w:t xml:space="preserve"> КРАЯ НА ПРЕХОДНИЯ ПЕРИОД</w:t>
      </w:r>
      <w:r>
        <w:t>....</w:t>
      </w:r>
      <w:r w:rsidR="00670CB0">
        <w:t>.....</w:t>
      </w:r>
      <w:r>
        <w:t xml:space="preserve">........ </w:t>
      </w:r>
      <w:r w:rsidR="000C4EFB">
        <w:t>3</w:t>
      </w:r>
      <w:r>
        <w:rPr>
          <w:rFonts w:ascii="Calibri" w:eastAsia="Calibri" w:hAnsi="Calibri" w:cs="Calibri"/>
          <w:sz w:val="22"/>
        </w:rPr>
        <w:t xml:space="preserve"> </w:t>
      </w:r>
    </w:p>
    <w:p w:rsidR="00CF398E" w:rsidRPr="00C9554D" w:rsidRDefault="00670CB0">
      <w:pPr>
        <w:numPr>
          <w:ilvl w:val="0"/>
          <w:numId w:val="1"/>
        </w:numPr>
        <w:ind w:right="13" w:hanging="482"/>
      </w:pPr>
      <w:r>
        <w:t>ДДС ПРАВИЛА ЗА ТРАНСГРАНИЧНИ ДОСТАВКИ НА СТОКИ</w:t>
      </w:r>
      <w:r w:rsidR="00144240">
        <w:t>.............. 4</w:t>
      </w:r>
      <w:r w:rsidR="00144240">
        <w:rPr>
          <w:rFonts w:ascii="Calibri" w:eastAsia="Calibri" w:hAnsi="Calibri" w:cs="Calibri"/>
          <w:sz w:val="22"/>
        </w:rPr>
        <w:t xml:space="preserve"> </w:t>
      </w:r>
    </w:p>
    <w:p w:rsidR="00C9554D" w:rsidRPr="00C9554D" w:rsidRDefault="00C9554D" w:rsidP="00C9554D">
      <w:pPr>
        <w:pStyle w:val="ListParagraph"/>
        <w:numPr>
          <w:ilvl w:val="1"/>
          <w:numId w:val="12"/>
        </w:numPr>
        <w:ind w:right="13"/>
      </w:pPr>
      <w:r w:rsidRPr="00C9554D">
        <w:t>Общи правила ……………………………………</w:t>
      </w:r>
      <w:r>
        <w:t>........................................</w:t>
      </w:r>
      <w:r w:rsidRPr="00C9554D">
        <w:t>4</w:t>
      </w:r>
    </w:p>
    <w:p w:rsidR="00C9554D" w:rsidRDefault="006E451C" w:rsidP="00C9554D">
      <w:pPr>
        <w:pStyle w:val="ListParagraph"/>
        <w:numPr>
          <w:ilvl w:val="1"/>
          <w:numId w:val="12"/>
        </w:numPr>
        <w:ind w:right="13"/>
      </w:pPr>
      <w:r>
        <w:t>Минисистема за о</w:t>
      </w:r>
      <w:r w:rsidR="00C9554D">
        <w:t xml:space="preserve">бслужване на едно гише </w:t>
      </w:r>
      <w:r w:rsidR="00C9554D">
        <w:rPr>
          <w:lang w:val="en-US"/>
        </w:rPr>
        <w:t>(MOSS)</w:t>
      </w:r>
      <w:r w:rsidR="00C9554D">
        <w:t>…………………………………….…</w:t>
      </w:r>
      <w:r>
        <w:t>……………………………..</w:t>
      </w:r>
      <w:r w:rsidR="00C9554D">
        <w:t xml:space="preserve"> 5</w:t>
      </w:r>
    </w:p>
    <w:p w:rsidR="00CF398E" w:rsidRDefault="00670CB0">
      <w:pPr>
        <w:numPr>
          <w:ilvl w:val="0"/>
          <w:numId w:val="1"/>
        </w:numPr>
        <w:ind w:right="13" w:hanging="482"/>
      </w:pPr>
      <w:r>
        <w:t>ВЪЗСТАНОВЯВАНЕ НА ДДС…..</w:t>
      </w:r>
      <w:r w:rsidR="00144240">
        <w:t xml:space="preserve">..................................................................... </w:t>
      </w:r>
      <w:r w:rsidR="000C4EFB">
        <w:t>7</w:t>
      </w:r>
      <w:r w:rsidR="00144240">
        <w:rPr>
          <w:rFonts w:ascii="Calibri" w:eastAsia="Calibri" w:hAnsi="Calibri" w:cs="Calibri"/>
          <w:sz w:val="22"/>
        </w:rPr>
        <w:t xml:space="preserve"> </w:t>
      </w:r>
    </w:p>
    <w:p w:rsidR="00CF398E" w:rsidRDefault="00DC0CBE">
      <w:pPr>
        <w:ind w:left="482" w:right="13" w:hanging="482"/>
      </w:pPr>
      <w:r>
        <w:t>Б</w:t>
      </w:r>
      <w:r w:rsidR="00144240">
        <w:t>.</w:t>
      </w:r>
      <w:r w:rsidR="00144240">
        <w:rPr>
          <w:rFonts w:ascii="Calibri" w:eastAsia="Calibri" w:hAnsi="Calibri" w:cs="Calibri"/>
          <w:sz w:val="22"/>
        </w:rPr>
        <w:t xml:space="preserve"> </w:t>
      </w:r>
      <w:r w:rsidR="009B6715">
        <w:rPr>
          <w:rFonts w:ascii="Calibri" w:eastAsia="Calibri" w:hAnsi="Calibri" w:cs="Calibri"/>
          <w:sz w:val="22"/>
        </w:rPr>
        <w:t xml:space="preserve"> </w:t>
      </w:r>
      <w:r w:rsidR="00670CB0" w:rsidRPr="00DC0CBE">
        <w:t xml:space="preserve">РАЗПОРЕДБИ </w:t>
      </w:r>
      <w:r w:rsidRPr="00DC0CBE">
        <w:t>ПО ОТНОШЕНИЕ НА</w:t>
      </w:r>
      <w:r w:rsidR="00670CB0" w:rsidRPr="00DC0CBE">
        <w:t xml:space="preserve"> РАЗДЕЛЯНЕ</w:t>
      </w:r>
      <w:r w:rsidRPr="00DC0CBE">
        <w:t>ТО</w:t>
      </w:r>
      <w:r w:rsidR="00670CB0" w:rsidRPr="00DC0CBE">
        <w:t xml:space="preserve"> ОТ СПОРАЗУМЕНИЕТО</w:t>
      </w:r>
      <w:r w:rsidR="00670CB0" w:rsidRPr="00670CB0">
        <w:t xml:space="preserve"> ЗА ОТТЕГЛЯНЕ</w:t>
      </w:r>
      <w:r w:rsidR="00144240">
        <w:t>.............................................................</w:t>
      </w:r>
      <w:r w:rsidR="009B6715">
        <w:t>.....................................</w:t>
      </w:r>
      <w:r w:rsidR="00144240">
        <w:t>. 7</w:t>
      </w:r>
      <w:r w:rsidR="00144240">
        <w:rPr>
          <w:rFonts w:ascii="Calibri" w:eastAsia="Calibri" w:hAnsi="Calibri" w:cs="Calibri"/>
          <w:sz w:val="22"/>
        </w:rPr>
        <w:t xml:space="preserve"> </w:t>
      </w:r>
    </w:p>
    <w:p w:rsidR="00CF398E" w:rsidRDefault="001042E4" w:rsidP="00670CB0">
      <w:pPr>
        <w:numPr>
          <w:ilvl w:val="0"/>
          <w:numId w:val="2"/>
        </w:numPr>
        <w:ind w:right="13" w:hanging="482"/>
      </w:pPr>
      <w:r>
        <w:t>ДОСТАВКА НА УСЛУГИ ……………………..</w:t>
      </w:r>
      <w:r w:rsidR="00144240">
        <w:t>..................................</w:t>
      </w:r>
      <w:r w:rsidR="00A237E3">
        <w:t>..............</w:t>
      </w:r>
      <w:r w:rsidR="00144240">
        <w:t xml:space="preserve"> 7</w:t>
      </w:r>
      <w:r w:rsidR="00144240">
        <w:rPr>
          <w:rFonts w:ascii="Calibri" w:eastAsia="Calibri" w:hAnsi="Calibri" w:cs="Calibri"/>
          <w:sz w:val="22"/>
        </w:rPr>
        <w:t xml:space="preserve"> </w:t>
      </w:r>
    </w:p>
    <w:p w:rsidR="00CF398E" w:rsidRDefault="00F341C4" w:rsidP="00144240">
      <w:pPr>
        <w:numPr>
          <w:ilvl w:val="0"/>
          <w:numId w:val="2"/>
        </w:numPr>
        <w:spacing w:after="230" w:line="249" w:lineRule="auto"/>
        <w:ind w:left="10" w:right="9" w:hanging="482"/>
        <w:jc w:val="right"/>
      </w:pPr>
      <w:r>
        <w:t>ЗАЯВЛЕНИЯ</w:t>
      </w:r>
      <w:r w:rsidR="00A237E3">
        <w:t xml:space="preserve"> ЗА ВЪЗСТАНОВЯВАНЕ, СВЪРЗАНИ С ДДС, ПЛАТЕН ПРЕДИ КРАЯ НА ПРЕХОДНИЯ ПЕРИОД</w:t>
      </w:r>
      <w:r w:rsidR="00144240">
        <w:t>........................................</w:t>
      </w:r>
      <w:r w:rsidR="009B6715">
        <w:t>..............................</w:t>
      </w:r>
      <w:r w:rsidR="00144240">
        <w:t>8</w:t>
      </w:r>
      <w:r w:rsidR="00144240" w:rsidRPr="00A237E3">
        <w:rPr>
          <w:rFonts w:ascii="Calibri" w:eastAsia="Calibri" w:hAnsi="Calibri" w:cs="Calibri"/>
          <w:sz w:val="22"/>
        </w:rPr>
        <w:t xml:space="preserve"> </w:t>
      </w:r>
    </w:p>
    <w:p w:rsidR="00CF398E" w:rsidRDefault="00CF398E">
      <w:pPr>
        <w:spacing w:after="501" w:line="259" w:lineRule="auto"/>
        <w:ind w:left="0" w:firstLine="0"/>
        <w:jc w:val="left"/>
      </w:pPr>
    </w:p>
    <w:p w:rsidR="001042E4" w:rsidRDefault="001042E4">
      <w:pPr>
        <w:spacing w:after="501" w:line="259" w:lineRule="auto"/>
        <w:ind w:left="0" w:firstLine="0"/>
        <w:jc w:val="left"/>
      </w:pPr>
    </w:p>
    <w:p w:rsidR="001042E4" w:rsidRDefault="001042E4">
      <w:pPr>
        <w:spacing w:after="501" w:line="259" w:lineRule="auto"/>
        <w:ind w:left="0" w:firstLine="0"/>
        <w:jc w:val="left"/>
      </w:pPr>
    </w:p>
    <w:p w:rsidR="00CF398E" w:rsidRDefault="00342431">
      <w:pPr>
        <w:pStyle w:val="Heading1"/>
        <w:ind w:left="-5" w:right="4"/>
      </w:pPr>
      <w:r>
        <w:rPr>
          <w:sz w:val="24"/>
        </w:rPr>
        <w:t>Въведение</w:t>
      </w:r>
      <w:r w:rsidR="00144240">
        <w:rPr>
          <w:sz w:val="24"/>
        </w:rPr>
        <w:t xml:space="preserve"> </w:t>
      </w:r>
    </w:p>
    <w:p w:rsidR="00CF398E" w:rsidRDefault="00342431">
      <w:pPr>
        <w:ind w:left="10" w:right="13"/>
      </w:pPr>
      <w:r>
        <w:t>От 1 февруари</w:t>
      </w:r>
      <w:r w:rsidR="00144240">
        <w:t xml:space="preserve"> 2020</w:t>
      </w:r>
      <w:r>
        <w:t xml:space="preserve"> г.</w:t>
      </w:r>
      <w:r w:rsidR="00144240">
        <w:t xml:space="preserve">, </w:t>
      </w:r>
      <w:r w:rsidR="00DD7F0D">
        <w:t xml:space="preserve">Обединеното Кралство се оттегли от Европейския съюз и се превърна в </w:t>
      </w:r>
      <w:r w:rsidR="00144240">
        <w:t>‘</w:t>
      </w:r>
      <w:r w:rsidR="00DD7F0D">
        <w:t>трета държава</w:t>
      </w:r>
      <w:r w:rsidR="00144240">
        <w:t>’.</w:t>
      </w:r>
      <w:r w:rsidR="00144240">
        <w:rPr>
          <w:vertAlign w:val="superscript"/>
        </w:rPr>
        <w:footnoteReference w:id="1"/>
      </w:r>
      <w:r w:rsidR="00DD7F0D">
        <w:t xml:space="preserve"> Споразумението за оттегляне</w:t>
      </w:r>
      <w:r w:rsidR="00144240">
        <w:rPr>
          <w:vertAlign w:val="superscript"/>
        </w:rPr>
        <w:footnoteReference w:id="2"/>
      </w:r>
      <w:r w:rsidR="00144240">
        <w:t xml:space="preserve"> </w:t>
      </w:r>
      <w:r w:rsidR="00DD7F0D">
        <w:t xml:space="preserve">регламентира преходен период, приключващ на </w:t>
      </w:r>
      <w:r w:rsidR="00144240">
        <w:t xml:space="preserve">31 </w:t>
      </w:r>
      <w:r w:rsidR="00DD7F0D">
        <w:t>декември</w:t>
      </w:r>
      <w:r w:rsidR="00144240">
        <w:t xml:space="preserve"> 2020</w:t>
      </w:r>
      <w:r w:rsidR="009B6715">
        <w:t xml:space="preserve"> г</w:t>
      </w:r>
      <w:r w:rsidR="00144240">
        <w:t xml:space="preserve">. </w:t>
      </w:r>
      <w:r w:rsidR="00DD7F0D">
        <w:t>До тази дата, законодателството на ЕС в своята цялост е приложимо за и в Обединеното Кралство</w:t>
      </w:r>
      <w:r w:rsidR="00144240">
        <w:t>.</w:t>
      </w:r>
      <w:r w:rsidR="00144240">
        <w:rPr>
          <w:vertAlign w:val="superscript"/>
        </w:rPr>
        <w:footnoteReference w:id="3"/>
      </w:r>
      <w:r w:rsidR="00144240">
        <w:t xml:space="preserve">  </w:t>
      </w:r>
    </w:p>
    <w:p w:rsidR="00CF398E" w:rsidRDefault="00E74598">
      <w:pPr>
        <w:ind w:left="10" w:right="13"/>
      </w:pPr>
      <w:r w:rsidRPr="00E74598">
        <w:t xml:space="preserve">По време на преходния период, ЕС и Обединеното кралство договарят споразумение за ново партньорство, което да осигури по-специално зона за свободна търговия. Не е сигурно, обаче, дали такова споразумение </w:t>
      </w:r>
      <w:r w:rsidR="00992F76">
        <w:t xml:space="preserve">ще бъде сключено и </w:t>
      </w:r>
      <w:r w:rsidRPr="00E74598">
        <w:t>ще влезе в сила в края на преходния период. Във всеки случай такова споразумение би създало отношения, които по отношение на условията за достъп до пазара ще бъдат много различни от участието на Обединеното кралство във вътрешния пазар</w:t>
      </w:r>
      <w:r w:rsidR="008363C7">
        <w:rPr>
          <w:rStyle w:val="FootnoteReference"/>
        </w:rPr>
        <w:footnoteReference w:id="4"/>
      </w:r>
      <w:r w:rsidR="00144240">
        <w:t>,</w:t>
      </w:r>
      <w:r>
        <w:t xml:space="preserve"> </w:t>
      </w:r>
      <w:r w:rsidRPr="00E74598">
        <w:t>в Митническия съюз на ЕС, както и в областта на ДДС и акцизите.</w:t>
      </w:r>
    </w:p>
    <w:p w:rsidR="00CF398E" w:rsidRDefault="0013253E">
      <w:pPr>
        <w:ind w:left="10" w:right="13"/>
      </w:pPr>
      <w:r w:rsidRPr="0013253E">
        <w:t xml:space="preserve">Ето защо на всички заинтересовани страни, и по-специално на икономическите оператори, се напомня за правното положение към края на преходния период (част А по-долу). В това известие се обясняват и някои </w:t>
      </w:r>
      <w:r w:rsidRPr="00DC0CBE">
        <w:t xml:space="preserve">разпоредби </w:t>
      </w:r>
      <w:r w:rsidR="00DC0CBE" w:rsidRPr="00DC0CBE">
        <w:t>по отношение на</w:t>
      </w:r>
      <w:r w:rsidRPr="00DC0CBE">
        <w:t xml:space="preserve"> разделяне</w:t>
      </w:r>
      <w:r w:rsidR="00DC0CBE">
        <w:t>то от</w:t>
      </w:r>
      <w:r w:rsidRPr="0013253E">
        <w:t xml:space="preserve"> споразумението за оттегляне (част Б по-долу)</w:t>
      </w:r>
      <w:r w:rsidR="00136C7D">
        <w:rPr>
          <w:rStyle w:val="FootnoteReference"/>
        </w:rPr>
        <w:footnoteReference w:id="5"/>
      </w:r>
      <w:r w:rsidRPr="0013253E">
        <w:t>.</w:t>
      </w:r>
    </w:p>
    <w:p w:rsidR="00CF398E" w:rsidRDefault="00A07FAD">
      <w:pPr>
        <w:pBdr>
          <w:top w:val="single" w:sz="4" w:space="0" w:color="000000"/>
          <w:left w:val="single" w:sz="4" w:space="0" w:color="000000"/>
          <w:bottom w:val="single" w:sz="4" w:space="0" w:color="000000"/>
          <w:right w:val="single" w:sz="4" w:space="0" w:color="000000"/>
        </w:pBdr>
        <w:spacing w:after="213" w:line="259" w:lineRule="auto"/>
        <w:ind w:left="-15" w:firstLine="0"/>
        <w:jc w:val="left"/>
      </w:pPr>
      <w:r>
        <w:rPr>
          <w:b/>
        </w:rPr>
        <w:t>Съвети към заинтересованите страни</w:t>
      </w:r>
      <w:r w:rsidR="00144240">
        <w:rPr>
          <w:b/>
        </w:rPr>
        <w:t xml:space="preserve">: </w:t>
      </w:r>
    </w:p>
    <w:p w:rsidR="00CF398E" w:rsidRDefault="00A07FAD">
      <w:pPr>
        <w:pBdr>
          <w:top w:val="single" w:sz="4" w:space="0" w:color="000000"/>
          <w:left w:val="single" w:sz="4" w:space="0" w:color="000000"/>
          <w:bottom w:val="single" w:sz="4" w:space="0" w:color="000000"/>
          <w:right w:val="single" w:sz="4" w:space="0" w:color="000000"/>
        </w:pBdr>
        <w:spacing w:after="235" w:line="249" w:lineRule="auto"/>
        <w:ind w:left="-5"/>
        <w:jc w:val="left"/>
      </w:pPr>
      <w:r>
        <w:t xml:space="preserve">За справяне с последствията, </w:t>
      </w:r>
      <w:r w:rsidRPr="00A07FAD">
        <w:t>посочени в настоящото известие, заинтересованите страни по-специално се съветват да</w:t>
      </w:r>
      <w:r w:rsidR="00144240">
        <w:t xml:space="preserve">: </w:t>
      </w:r>
    </w:p>
    <w:p w:rsidR="00AE697F" w:rsidRDefault="00144240" w:rsidP="00E87B20">
      <w:pPr>
        <w:pBdr>
          <w:top w:val="single" w:sz="4" w:space="0" w:color="000000"/>
          <w:left w:val="single" w:sz="4" w:space="0" w:color="000000"/>
          <w:bottom w:val="single" w:sz="4" w:space="0" w:color="000000"/>
          <w:right w:val="single" w:sz="4" w:space="0" w:color="000000"/>
        </w:pBdr>
        <w:spacing w:after="235" w:line="249" w:lineRule="auto"/>
        <w:ind w:left="345" w:hanging="360"/>
      </w:pPr>
      <w:r w:rsidRPr="00AE697F">
        <w:t xml:space="preserve">− </w:t>
      </w:r>
      <w:r w:rsidR="00A07FAD" w:rsidRPr="00AE697F">
        <w:t xml:space="preserve"> </w:t>
      </w:r>
      <w:r w:rsidR="00AE697F" w:rsidRPr="00AE697F">
        <w:t>когато са установени в ЕС, да се запознаят с правилата, приложими за услуги, предоставяни и получени от трети държави/територии</w:t>
      </w:r>
      <w:r w:rsidR="00AE697F">
        <w:t>;</w:t>
      </w:r>
    </w:p>
    <w:p w:rsidR="00AE697F" w:rsidRDefault="00AE697F" w:rsidP="00E87B20">
      <w:pPr>
        <w:pStyle w:val="ListParagraph"/>
        <w:numPr>
          <w:ilvl w:val="0"/>
          <w:numId w:val="13"/>
        </w:numPr>
        <w:pBdr>
          <w:top w:val="single" w:sz="4" w:space="0" w:color="000000"/>
          <w:left w:val="single" w:sz="4" w:space="0" w:color="000000"/>
          <w:bottom w:val="single" w:sz="4" w:space="0" w:color="000000"/>
          <w:right w:val="single" w:sz="4" w:space="0" w:color="000000"/>
        </w:pBdr>
        <w:spacing w:after="235" w:line="249" w:lineRule="auto"/>
      </w:pPr>
      <w:r w:rsidRPr="00AE697F">
        <w:t>когато са установени в Обединеното кралство, да проверяват дали за тях ще се прилагат нови правила за задължения по отношение на услугите, предоставяни в ЕС;</w:t>
      </w:r>
    </w:p>
    <w:p w:rsidR="00AE697F" w:rsidRPr="00AE697F" w:rsidRDefault="00AE697F" w:rsidP="00E87B20">
      <w:pPr>
        <w:pStyle w:val="ListParagraph"/>
        <w:numPr>
          <w:ilvl w:val="0"/>
          <w:numId w:val="13"/>
        </w:numPr>
        <w:pBdr>
          <w:top w:val="single" w:sz="4" w:space="0" w:color="000000"/>
          <w:left w:val="single" w:sz="4" w:space="0" w:color="000000"/>
          <w:bottom w:val="single" w:sz="4" w:space="0" w:color="000000"/>
          <w:right w:val="single" w:sz="4" w:space="0" w:color="000000"/>
        </w:pBdr>
        <w:spacing w:after="235" w:line="249" w:lineRule="auto"/>
      </w:pPr>
      <w:r w:rsidRPr="00AE697F">
        <w:t>предприемат необходимите стъпки по отношение на услугите, обхванати от Mini One-Stop-Shop</w:t>
      </w:r>
      <w:r>
        <w:rPr>
          <w:rStyle w:val="FootnoteReference"/>
        </w:rPr>
        <w:footnoteReference w:id="6"/>
      </w:r>
    </w:p>
    <w:p w:rsidR="00CF398E" w:rsidRDefault="00144240" w:rsidP="00E87B20">
      <w:pPr>
        <w:pBdr>
          <w:top w:val="single" w:sz="4" w:space="0" w:color="000000"/>
          <w:left w:val="single" w:sz="4" w:space="0" w:color="000000"/>
          <w:bottom w:val="single" w:sz="4" w:space="0" w:color="000000"/>
          <w:right w:val="single" w:sz="4" w:space="0" w:color="000000"/>
        </w:pBdr>
        <w:spacing w:after="260" w:line="249" w:lineRule="auto"/>
        <w:ind w:left="-5"/>
      </w:pPr>
      <w:r>
        <w:rPr>
          <w:rFonts w:ascii="Arial" w:eastAsia="Arial" w:hAnsi="Arial" w:cs="Arial"/>
        </w:rPr>
        <w:t xml:space="preserve">− </w:t>
      </w:r>
      <w:r w:rsidR="00AE697F">
        <w:t>обърнат внимание на промените в процедурите за искане на възстановяване на ДДС.</w:t>
      </w:r>
      <w:r w:rsidR="00A07FAD">
        <w:t xml:space="preserve"> </w:t>
      </w:r>
    </w:p>
    <w:p w:rsidR="00D23636" w:rsidRDefault="00E87B20" w:rsidP="00E87B20">
      <w:pPr>
        <w:pStyle w:val="ListParagraph"/>
        <w:numPr>
          <w:ilvl w:val="0"/>
          <w:numId w:val="13"/>
        </w:numPr>
        <w:pBdr>
          <w:top w:val="single" w:sz="4" w:space="0" w:color="000000"/>
          <w:left w:val="single" w:sz="4" w:space="0" w:color="000000"/>
          <w:bottom w:val="single" w:sz="4" w:space="0" w:color="000000"/>
          <w:right w:val="single" w:sz="4" w:space="0" w:color="000000"/>
        </w:pBdr>
        <w:spacing w:after="235" w:line="249" w:lineRule="auto"/>
      </w:pPr>
      <w:r w:rsidRPr="00E87B20">
        <w:t xml:space="preserve">да подадат своите електронни заявления за възстановяване на ДДС, платен преди края на преходния период в Обединеното кралство (или в държава членка за търговци от Обединеното кралство) най-късно на </w:t>
      </w:r>
      <w:r w:rsidRPr="00E87B20">
        <w:rPr>
          <w:b/>
        </w:rPr>
        <w:t>31 март 2021 г.</w:t>
      </w:r>
      <w:r w:rsidRPr="00E87B20">
        <w:t xml:space="preserve"> (вж. по-долу за повече подробности).</w:t>
      </w:r>
    </w:p>
    <w:p w:rsidR="00CF398E" w:rsidRDefault="00144240">
      <w:pPr>
        <w:spacing w:after="0" w:line="259" w:lineRule="auto"/>
        <w:ind w:left="0" w:firstLine="0"/>
        <w:jc w:val="left"/>
      </w:pPr>
      <w:r>
        <w:rPr>
          <w:b/>
        </w:rPr>
        <w:t xml:space="preserve"> </w:t>
      </w:r>
    </w:p>
    <w:tbl>
      <w:tblPr>
        <w:tblStyle w:val="TableGrid"/>
        <w:tblW w:w="8846" w:type="dxa"/>
        <w:tblInd w:w="-113" w:type="dxa"/>
        <w:tblCellMar>
          <w:top w:w="33" w:type="dxa"/>
          <w:left w:w="113" w:type="dxa"/>
          <w:right w:w="53" w:type="dxa"/>
        </w:tblCellMar>
        <w:tblLook w:val="04A0" w:firstRow="1" w:lastRow="0" w:firstColumn="1" w:lastColumn="0" w:noHBand="0" w:noVBand="1"/>
      </w:tblPr>
      <w:tblGrid>
        <w:gridCol w:w="8846"/>
      </w:tblGrid>
      <w:tr w:rsidR="00CF398E" w:rsidTr="00B01413">
        <w:trPr>
          <w:trHeight w:val="1375"/>
        </w:trPr>
        <w:tc>
          <w:tcPr>
            <w:tcW w:w="8846" w:type="dxa"/>
            <w:tcBorders>
              <w:top w:val="single" w:sz="4" w:space="0" w:color="000000"/>
              <w:left w:val="single" w:sz="4" w:space="0" w:color="000000"/>
              <w:bottom w:val="nil"/>
              <w:right w:val="single" w:sz="4" w:space="0" w:color="000000"/>
            </w:tcBorders>
          </w:tcPr>
          <w:p w:rsidR="00CF398E" w:rsidRDefault="00141A77">
            <w:pPr>
              <w:spacing w:after="213" w:line="259" w:lineRule="auto"/>
              <w:ind w:left="0" w:firstLine="0"/>
              <w:jc w:val="left"/>
            </w:pPr>
            <w:r>
              <w:rPr>
                <w:b/>
              </w:rPr>
              <w:t>Следва да се отбележи</w:t>
            </w:r>
            <w:r w:rsidR="00144240">
              <w:rPr>
                <w:b/>
              </w:rPr>
              <w:t xml:space="preserve">: </w:t>
            </w:r>
          </w:p>
          <w:p w:rsidR="00CF398E" w:rsidRDefault="00141A77" w:rsidP="00DB4A7F">
            <w:pPr>
              <w:spacing w:after="219" w:line="259" w:lineRule="auto"/>
              <w:ind w:left="0" w:firstLine="0"/>
            </w:pPr>
            <w:r>
              <w:t xml:space="preserve">Това известие </w:t>
            </w:r>
            <w:r w:rsidRPr="00141A77">
              <w:rPr>
                <w:u w:val="single"/>
              </w:rPr>
              <w:t>не</w:t>
            </w:r>
            <w:r>
              <w:t xml:space="preserve"> се отнася до</w:t>
            </w:r>
            <w:r w:rsidR="00144240">
              <w:t xml:space="preserve">: </w:t>
            </w:r>
          </w:p>
          <w:p w:rsidR="00CF398E" w:rsidRDefault="00AE697F" w:rsidP="00DB4A7F">
            <w:pPr>
              <w:pStyle w:val="ListParagraph"/>
              <w:numPr>
                <w:ilvl w:val="0"/>
                <w:numId w:val="11"/>
              </w:numPr>
              <w:spacing w:after="235" w:line="249" w:lineRule="auto"/>
            </w:pPr>
            <w:r>
              <w:t>правилата на ЕС за ДДС третиране на стоки</w:t>
            </w:r>
            <w:r>
              <w:rPr>
                <w:rStyle w:val="FootnoteReference"/>
              </w:rPr>
              <w:footnoteReference w:id="7"/>
            </w:r>
            <w:r w:rsidR="00144240">
              <w:t xml:space="preserve">; </w:t>
            </w:r>
          </w:p>
          <w:p w:rsidR="00CF398E" w:rsidRDefault="001E5B7B" w:rsidP="00DB4A7F">
            <w:pPr>
              <w:pStyle w:val="ListParagraph"/>
              <w:numPr>
                <w:ilvl w:val="0"/>
                <w:numId w:val="11"/>
              </w:numPr>
              <w:spacing w:after="235" w:line="249" w:lineRule="auto"/>
            </w:pPr>
            <w:r w:rsidRPr="001E5B7B">
              <w:t>Законодателството на ЕС (различно от законодателството в областта на ДДС) за трансграничното предоставяне на определени услуги, като цифрови услуги, творчески услуги или бизнес услуги.</w:t>
            </w:r>
            <w:r w:rsidR="00144240">
              <w:t xml:space="preserve"> </w:t>
            </w:r>
          </w:p>
          <w:p w:rsidR="00CF398E" w:rsidRDefault="00141A77" w:rsidP="00DB4A7F">
            <w:pPr>
              <w:spacing w:after="232" w:line="259" w:lineRule="auto"/>
              <w:ind w:left="0" w:firstLine="0"/>
            </w:pPr>
            <w:r>
              <w:t>За тези аспекти се подготвят или са публикувани други известия</w:t>
            </w:r>
            <w:r w:rsidR="008363C7">
              <w:rPr>
                <w:rStyle w:val="FootnoteReference"/>
              </w:rPr>
              <w:footnoteReference w:id="8"/>
            </w:r>
            <w:r w:rsidR="00144240">
              <w:t xml:space="preserve">. </w:t>
            </w:r>
          </w:p>
          <w:p w:rsidR="00CF398E" w:rsidRPr="00B01413" w:rsidRDefault="00B01413" w:rsidP="001E5B7B">
            <w:pPr>
              <w:spacing w:after="0" w:line="259" w:lineRule="auto"/>
              <w:ind w:left="0" w:right="66" w:firstLine="0"/>
            </w:pPr>
            <w:r>
              <w:t>Трябва да се отбележи, че целта на настоящето известие е да предостави общо обяснение относно основните последствия от Споразумението за оттегляне</w:t>
            </w:r>
            <w:r w:rsidR="00427563">
              <w:t xml:space="preserve"> по отношение на правилата на ЕС за ДДС, приложим</w:t>
            </w:r>
            <w:r w:rsidR="009B6715">
              <w:t>и</w:t>
            </w:r>
            <w:r w:rsidR="00427563">
              <w:t xml:space="preserve"> за </w:t>
            </w:r>
            <w:r w:rsidR="001E5B7B">
              <w:t>услуги</w:t>
            </w:r>
            <w:r w:rsidR="00427563">
              <w:t xml:space="preserve"> във връзка с Обединеното кралство. То няма за цел да даде  обяснения</w:t>
            </w:r>
            <w:r w:rsidR="00144240">
              <w:t xml:space="preserve"> </w:t>
            </w:r>
            <w:r w:rsidR="00427563">
              <w:t xml:space="preserve">по всяко правило за ДДС, по-специално </w:t>
            </w:r>
            <w:r w:rsidR="001E5B7B">
              <w:t>специалните режими</w:t>
            </w:r>
            <w:r w:rsidR="00427563">
              <w:t xml:space="preserve">, които ще влязат в сила от 2021 г. за </w:t>
            </w:r>
            <w:r w:rsidR="001E5B7B">
              <w:t>услуги</w:t>
            </w:r>
            <w:r w:rsidR="00794D74">
              <w:rPr>
                <w:rStyle w:val="FootnoteReference"/>
              </w:rPr>
              <w:footnoteReference w:id="9"/>
            </w:r>
            <w:r w:rsidR="00427563">
              <w:t xml:space="preserve"> </w:t>
            </w:r>
            <w:r w:rsidR="00794D74">
              <w:t>Обща информация е налична на уебсайта на Комисията за данъчно облагане и митнически съюз</w:t>
            </w:r>
            <w:r w:rsidR="00794D74">
              <w:rPr>
                <w:rStyle w:val="FootnoteReference"/>
              </w:rPr>
              <w:footnoteReference w:id="10"/>
            </w:r>
            <w:r w:rsidR="00794D74">
              <w:t>.</w:t>
            </w:r>
            <w:r w:rsidR="00427563">
              <w:t xml:space="preserve"> </w:t>
            </w:r>
          </w:p>
        </w:tc>
      </w:tr>
    </w:tbl>
    <w:p w:rsidR="00CF398E" w:rsidRDefault="00144240">
      <w:pPr>
        <w:spacing w:after="0" w:line="259" w:lineRule="auto"/>
        <w:ind w:left="0" w:firstLine="0"/>
        <w:jc w:val="left"/>
      </w:pPr>
      <w:r>
        <w:rPr>
          <w:strike/>
        </w:rPr>
        <w:t xml:space="preserve">                                                </w:t>
      </w:r>
      <w:r>
        <w:t xml:space="preserve"> </w:t>
      </w:r>
    </w:p>
    <w:p w:rsidR="00CF398E" w:rsidRDefault="00391244" w:rsidP="00B01413">
      <w:pPr>
        <w:spacing w:after="0" w:line="248" w:lineRule="auto"/>
        <w:ind w:left="358" w:right="28" w:firstLine="0"/>
        <w:jc w:val="left"/>
      </w:pPr>
      <w:hyperlink r:id="rId9">
        <w:r w:rsidR="00144240">
          <w:rPr>
            <w:sz w:val="20"/>
          </w:rPr>
          <w:t xml:space="preserve"> </w:t>
        </w:r>
      </w:hyperlink>
      <w:r w:rsidR="00144240">
        <w:rPr>
          <w:sz w:val="20"/>
        </w:rPr>
        <w:t xml:space="preserve"> </w:t>
      </w:r>
    </w:p>
    <w:p w:rsidR="00CF398E" w:rsidRDefault="00144240">
      <w:pPr>
        <w:pStyle w:val="Heading1"/>
        <w:ind w:left="-5" w:right="4"/>
      </w:pPr>
      <w:r>
        <w:rPr>
          <w:sz w:val="24"/>
        </w:rPr>
        <w:t>A.</w:t>
      </w:r>
      <w:r>
        <w:rPr>
          <w:rFonts w:ascii="Arial" w:eastAsia="Arial" w:hAnsi="Arial" w:cs="Arial"/>
          <w:sz w:val="24"/>
        </w:rPr>
        <w:t xml:space="preserve"> </w:t>
      </w:r>
      <w:r w:rsidR="00D376FC">
        <w:t>П</w:t>
      </w:r>
      <w:r w:rsidR="006A0F4E" w:rsidRPr="006A0F4E">
        <w:t>РАВНО ПОЛОЖЕНИЕ КЪМ КРАЯ НА ПРЕХОДНИЯ ПЕРИОД</w:t>
      </w:r>
    </w:p>
    <w:p w:rsidR="00CF398E" w:rsidRDefault="00D613A4">
      <w:pPr>
        <w:spacing w:after="516"/>
        <w:ind w:left="10" w:right="13"/>
      </w:pPr>
      <w:r>
        <w:t xml:space="preserve">Считано от края на преходния период, правилата на ЕС в областта на ДДС </w:t>
      </w:r>
      <w:r w:rsidR="00EC37A4">
        <w:t>за услуги</w:t>
      </w:r>
      <w:r w:rsidR="00EC37A4">
        <w:rPr>
          <w:rStyle w:val="FootnoteReference"/>
        </w:rPr>
        <w:footnoteReference w:id="11"/>
      </w:r>
      <w:r w:rsidR="00EC37A4">
        <w:t xml:space="preserve"> </w:t>
      </w:r>
      <w:r>
        <w:t>вече няма да се прилагат по отношение на и в Обединеното Кралство.</w:t>
      </w:r>
      <w:r w:rsidR="00144240">
        <w:t xml:space="preserve"> </w:t>
      </w:r>
      <w:r w:rsidR="000B33AF">
        <w:t>Това предизвиква по-специално следните последствия по отношение на тре</w:t>
      </w:r>
      <w:r w:rsidR="003B4EF6">
        <w:t>тиране на облагаеми операции с услуги</w:t>
      </w:r>
      <w:r w:rsidR="000B33AF">
        <w:t xml:space="preserve"> (виж по-долу</w:t>
      </w:r>
      <w:r w:rsidR="00144240">
        <w:t xml:space="preserve">, 1) </w:t>
      </w:r>
      <w:r w:rsidR="000B33AF">
        <w:t>и възстановяване на ДДС (виж по-долу</w:t>
      </w:r>
      <w:r w:rsidR="00144240">
        <w:t xml:space="preserve">, 2): </w:t>
      </w:r>
    </w:p>
    <w:p w:rsidR="00CF398E" w:rsidRDefault="00D376FC" w:rsidP="00A9554D">
      <w:pPr>
        <w:pStyle w:val="Heading1"/>
        <w:numPr>
          <w:ilvl w:val="0"/>
          <w:numId w:val="14"/>
        </w:numPr>
        <w:tabs>
          <w:tab w:val="center" w:pos="3085"/>
        </w:tabs>
        <w:ind w:right="0"/>
        <w:jc w:val="left"/>
      </w:pPr>
      <w:r>
        <w:rPr>
          <w:sz w:val="24"/>
        </w:rPr>
        <w:t>ДДС</w:t>
      </w:r>
      <w:r w:rsidRPr="00D376FC">
        <w:t xml:space="preserve"> ПРАВИЛА ЗА ТРАНСГРАНИЧНИ ДОСТАВКИ НА </w:t>
      </w:r>
      <w:r w:rsidR="003B4EF6">
        <w:t>УСЛУГИ</w:t>
      </w:r>
    </w:p>
    <w:p w:rsidR="00A9554D" w:rsidRPr="00A9554D" w:rsidRDefault="00A9554D" w:rsidP="00A9554D">
      <w:pPr>
        <w:pStyle w:val="ListParagraph"/>
        <w:ind w:left="345" w:firstLine="0"/>
      </w:pPr>
      <w:r>
        <w:rPr>
          <w:b/>
        </w:rPr>
        <w:t>1.1 Общи правила</w:t>
      </w:r>
    </w:p>
    <w:p w:rsidR="00CF398E" w:rsidRDefault="008325DD">
      <w:pPr>
        <w:ind w:left="477" w:right="13"/>
      </w:pPr>
      <w:r>
        <w:t>Законодателството на ЕС в областта на</w:t>
      </w:r>
      <w:r w:rsidRPr="008325DD">
        <w:t xml:space="preserve"> ДДС предвижда различни режими на ДДС за т</w:t>
      </w:r>
      <w:r>
        <w:t>рансгранични доставки</w:t>
      </w:r>
      <w:r w:rsidR="00E20C38">
        <w:t xml:space="preserve"> на услуги между </w:t>
      </w:r>
      <w:r w:rsidRPr="008325DD">
        <w:t>държави</w:t>
      </w:r>
      <w:r w:rsidR="00E20C38">
        <w:t>те</w:t>
      </w:r>
      <w:r w:rsidRPr="008325DD">
        <w:t xml:space="preserve"> членки и трети държави или територии.</w:t>
      </w:r>
      <w:r w:rsidR="00E20C38">
        <w:t xml:space="preserve"> </w:t>
      </w:r>
      <w:r w:rsidR="00E20C38" w:rsidRPr="00E20C38">
        <w:t>Мястото на доставка на услуги зависи от различни фактори, като естеството на услугата, дали лицето, което получава услугата, е данъчнозадължено лице или не, мястото, където услугата действително се предоставя и т.н.</w:t>
      </w:r>
    </w:p>
    <w:p w:rsidR="00E20C38" w:rsidRDefault="00E20C38">
      <w:pPr>
        <w:spacing w:after="276"/>
        <w:ind w:left="477" w:right="13"/>
      </w:pPr>
      <w:r w:rsidRPr="00E20C38">
        <w:t>Оттеглянето на Обединеното кралство означава, че начинът, по който ще се прилагат правилата за данъчнозадължените лица, установени в Обединеното кралство, които доставят услуги в ЕС, и за данъчнозадължените лица, установени в ЕС, които предоставят услуги в Обединеното кралство, ще се промени след края на преходния период.</w:t>
      </w:r>
    </w:p>
    <w:p w:rsidR="00856809" w:rsidRDefault="00E20C38" w:rsidP="00856809">
      <w:pPr>
        <w:spacing w:after="276"/>
        <w:ind w:left="477" w:right="13"/>
      </w:pPr>
      <w:r w:rsidRPr="00E20C38">
        <w:t>Директивата за ДДС определя, чрез правилата за „място на доставка на услуги“ (дял V, глава 3), къде се счита, че се извършва услуга, предоставена от данъчнозадължено лице. След края на преходния период, в случай че съгласно тези правила мястото на доставка на услуги се намира в държава членка, доставката ще бъде предмет на облагане с ДДС в тази държава членка въз основа и при условията на посочената по-горе директива. Ако, от друга страна, мястото на доставка на услуги се намира в Обединеното кралство (или в която и да е друга трета държава/територия), доставката няма да бъде предмет на ДДС от ЕС</w:t>
      </w:r>
      <w:r>
        <w:rPr>
          <w:rStyle w:val="FootnoteReference"/>
        </w:rPr>
        <w:footnoteReference w:id="12"/>
      </w:r>
      <w:r w:rsidR="008576EF">
        <w:t>.</w:t>
      </w:r>
      <w:r w:rsidR="00856809">
        <w:t xml:space="preserve">  </w:t>
      </w:r>
    </w:p>
    <w:p w:rsidR="00A9554D" w:rsidRDefault="00A9554D">
      <w:pPr>
        <w:spacing w:after="276"/>
        <w:ind w:left="477" w:right="13"/>
      </w:pPr>
      <w:r w:rsidRPr="00A9554D">
        <w:t>По правило B2B</w:t>
      </w:r>
      <w:r>
        <w:rPr>
          <w:rStyle w:val="FootnoteReference"/>
        </w:rPr>
        <w:footnoteReference w:id="13"/>
      </w:r>
      <w:r w:rsidRPr="00A9554D">
        <w:t xml:space="preserve"> доставките на услуги се осъществяват там, където клиентът е установил своята дейност. Съгласно това правило, предоставянето на услуги от страна на предприятие на Обединеното кралство</w:t>
      </w:r>
      <w:r>
        <w:rPr>
          <w:rStyle w:val="FootnoteReference"/>
        </w:rPr>
        <w:footnoteReference w:id="14"/>
      </w:r>
      <w:r w:rsidRPr="00A9554D">
        <w:t xml:space="preserve"> на предприятие от ЕС</w:t>
      </w:r>
      <w:r>
        <w:rPr>
          <w:rStyle w:val="FootnoteReference"/>
        </w:rPr>
        <w:footnoteReference w:id="15"/>
      </w:r>
      <w:r w:rsidRPr="00A9554D">
        <w:t xml:space="preserve"> ще бъде облагаемо в държавата членка, в която е установен клиентът. По правило, клиентът е задължен за плащането на дължимия ДДС в тази държава членка. Предоставянето на услуги от страна на предприятие от ЕС на предприятие в Обединеното кралство ще се счита за извършено извън ЕС и следователно няма да подлежи на данъчно облагане съгласно законодателството на ЕС за ДДС.</w:t>
      </w:r>
    </w:p>
    <w:p w:rsidR="00A9554D" w:rsidRDefault="00A9554D">
      <w:pPr>
        <w:spacing w:after="276"/>
        <w:ind w:left="477" w:right="13"/>
      </w:pPr>
      <w:r w:rsidRPr="00A9554D">
        <w:t>По правило доставките на услуги B2C</w:t>
      </w:r>
      <w:r>
        <w:rPr>
          <w:rStyle w:val="FootnoteReference"/>
        </w:rPr>
        <w:footnoteReference w:id="16"/>
      </w:r>
      <w:r w:rsidRPr="00A9554D">
        <w:t xml:space="preserve"> се осъществяват там, където доставчикът е установил своята дейност. Съгласно това правило предоставянето на услуги от страна на предприятията от ЕС на физически лица в Обединеното кралство ще бъде облагаемо в държавата членка, в която е установен доставчикът. Предоставянето на услуги от страна на предприятията в Обединеното кралство на физически лица в ЕС, по принцип, ще се счита за осъщественоо извън ЕС и следователно няма да подлежи на данъчно облагане съгласно законодателството на ЕС за ДДС. Въпреки това</w:t>
      </w:r>
      <w:r w:rsidR="00856809">
        <w:t>,</w:t>
      </w:r>
      <w:r w:rsidRPr="00A9554D">
        <w:t xml:space="preserve"> за някои услуги, предоставяни от предприятия от Обединеното кралство на физически лица в ЕС, ДДС ще бъде дължим в ЕС и ще бъде дължим от предприятията в Обединеното кралство (вж. точка 1.2 по-долу).</w:t>
      </w:r>
    </w:p>
    <w:p w:rsidR="00A9554D" w:rsidRDefault="00A9554D">
      <w:pPr>
        <w:spacing w:after="276"/>
        <w:ind w:left="477" w:right="13"/>
      </w:pPr>
      <w:r w:rsidRPr="00A9554D">
        <w:t>Когато предприятие от Обединеното кралство е задължено за плащането на дължимия ДДС в държава членка, тази държава членка има право да изиска определянето на данъчен представител, ако данъчнозадълженото лице, предоставящо услугите, е установено в трета държава, която не предоставя административно сътрудничество и помощ за възстановяване на ДДС</w:t>
      </w:r>
      <w:r>
        <w:rPr>
          <w:rStyle w:val="FootnoteReference"/>
        </w:rPr>
        <w:footnoteReference w:id="17"/>
      </w:r>
      <w:r w:rsidRPr="00A9554D">
        <w:t>. След края на преходния период това изискване може да се прилага за данъчнозадължените лица, установени в Обединеното кралство.</w:t>
      </w:r>
    </w:p>
    <w:p w:rsidR="00E830B2" w:rsidRPr="000C4EFB" w:rsidRDefault="00E830B2" w:rsidP="00E830B2">
      <w:pPr>
        <w:pStyle w:val="ListParagraph"/>
        <w:ind w:left="345" w:firstLine="0"/>
        <w:rPr>
          <w:b/>
        </w:rPr>
      </w:pPr>
    </w:p>
    <w:p w:rsidR="00E830B2" w:rsidRPr="000C4EFB" w:rsidRDefault="00E830B2" w:rsidP="00E830B2">
      <w:pPr>
        <w:pStyle w:val="ListParagraph"/>
        <w:numPr>
          <w:ilvl w:val="1"/>
          <w:numId w:val="14"/>
        </w:numPr>
        <w:rPr>
          <w:b/>
          <w:lang w:val="en-US"/>
        </w:rPr>
      </w:pPr>
      <w:r w:rsidRPr="000C4EFB">
        <w:rPr>
          <w:b/>
        </w:rPr>
        <w:t xml:space="preserve">Система за обслужване на едно гише </w:t>
      </w:r>
      <w:r w:rsidRPr="000C4EFB">
        <w:rPr>
          <w:b/>
          <w:lang w:val="en-US"/>
        </w:rPr>
        <w:t>(MOSS)</w:t>
      </w:r>
    </w:p>
    <w:p w:rsidR="00E830B2" w:rsidRDefault="00856809" w:rsidP="00CC2CE6">
      <w:pPr>
        <w:ind w:left="345" w:firstLine="0"/>
      </w:pPr>
      <w:r>
        <w:rPr>
          <w:lang w:val="en-US"/>
        </w:rPr>
        <w:t xml:space="preserve">B2C </w:t>
      </w:r>
      <w:r>
        <w:t>д</w:t>
      </w:r>
      <w:r w:rsidR="00BD058B" w:rsidRPr="00BD058B">
        <w:t xml:space="preserve">оставките на далекосъобщения, радио- и електронни и радио- и телевизионни услуги обикновено се считат за осъществени на мястото, където е установен клиентът. Ако клиентът е установен в ЕС, доставчиците, които не са установени в държавата членка на клиента, могат да използват специален режим за деклариране и плащане на дължимия ДДС чрез т.нар. </w:t>
      </w:r>
      <w:r w:rsidR="006E451C">
        <w:t>мини</w:t>
      </w:r>
      <w:r w:rsidR="00BD058B" w:rsidRPr="00BD058B">
        <w:t>система за обслужване на едно гише (MOSS). Съществуват два вида режими: „Режим в Съюза" за доставчиците, установени в ЕС</w:t>
      </w:r>
      <w:r w:rsidR="00BD058B">
        <w:rPr>
          <w:rStyle w:val="FootnoteReference"/>
        </w:rPr>
        <w:footnoteReference w:id="18"/>
      </w:r>
      <w:r w:rsidR="00BD058B" w:rsidRPr="00BD058B">
        <w:t xml:space="preserve">  и „режим извън Съюза“ за тези, които не са установени в ЕС</w:t>
      </w:r>
      <w:r w:rsidR="00BD058B">
        <w:rPr>
          <w:rStyle w:val="FootnoteReference"/>
        </w:rPr>
        <w:footnoteReference w:id="19"/>
      </w:r>
      <w:r w:rsidR="00BD058B" w:rsidRPr="00BD058B">
        <w:t>. MOSS позволява на данъчнозадълженото лице да подаде декларация за ДДС по MOSS за всяко календарно тримесечие и дава възможност за единно плащане на държавата членка по идентификация. Тази държава членка по идентификация разделя декларацията по ДДС по MOSS по държава членка по потребление и препраща данните и съответните плащания на различните държави членки по потребление.</w:t>
      </w:r>
      <w:r>
        <w:t xml:space="preserve"> </w:t>
      </w:r>
    </w:p>
    <w:p w:rsidR="00610DF8" w:rsidRPr="00CC2CE6" w:rsidRDefault="00610DF8" w:rsidP="00CC2CE6">
      <w:pPr>
        <w:ind w:left="345" w:firstLine="0"/>
      </w:pPr>
      <w:r w:rsidRPr="00610DF8">
        <w:t xml:space="preserve">След преходния период доставчиците, установени в Обединеното кралство и идентифицирани в Обединеното кралство под „режим в Съюза" и доставчиците, установени в трета държава/територия и идентифицирани в Обединеното кралство под „режим извън Съюза“, които ще продължат да предоставят телекомуникационни, радио- и електронни услуги на клиенти в ЕС, ще трябва да преминат към използване на „режим извън Съюза" в една от държавите членки. Доставчиците, установени в Обединеното кралство и идентифицирани в Обединеното кралство под "режим в Съюза", които са установени и в държава членка, ще трябва да преместят идентификацията си за „режим в Съюза“ от Обединеното кралство в </w:t>
      </w:r>
      <w:r w:rsidR="00CC2CE6">
        <w:t>тази държава</w:t>
      </w:r>
      <w:r w:rsidRPr="00610DF8">
        <w:t xml:space="preserve"> членки, считано от края на преходния период.</w:t>
      </w:r>
      <w:r w:rsidR="00CC2CE6">
        <w:t xml:space="preserve"> </w:t>
      </w:r>
    </w:p>
    <w:p w:rsidR="00610DF8" w:rsidRDefault="00610DF8" w:rsidP="00E830B2">
      <w:pPr>
        <w:ind w:left="345" w:firstLine="0"/>
      </w:pPr>
      <w:r w:rsidRPr="00610DF8">
        <w:t>Доставчиците, установени в ЕС, идентифицирани в държава членка под „режим в Съюза" и доставчиците, установени в трета държава/територия, идентифицирани в държава членка под „режима извън Съюза“ н, които ще продължат да предоставят далекосъобщителни, радио- и телевизионни и електронни услуги на клиенти в Обединеното кралство след края на преходния период, няма да могат да използват MOSS, за да докладват и да плащат какъвто и да е ДДС, който може да се дължи в Обединеното кралство. Те ще трябва да спазват правилата, приложими в Обединеното кралство.</w:t>
      </w:r>
    </w:p>
    <w:p w:rsidR="00D576A6" w:rsidRDefault="00D576A6" w:rsidP="00D576A6">
      <w:pPr>
        <w:ind w:left="345" w:firstLine="0"/>
      </w:pPr>
      <w:r>
        <w:t xml:space="preserve">Следва да се отбележи, че считано от 1 </w:t>
      </w:r>
      <w:r w:rsidR="001F1474">
        <w:t>юл</w:t>
      </w:r>
      <w:r>
        <w:t>и 2021 г.</w:t>
      </w:r>
      <w:r w:rsidR="00612024">
        <w:rPr>
          <w:rStyle w:val="FootnoteReference"/>
        </w:rPr>
        <w:footnoteReference w:id="20"/>
      </w:r>
      <w:r>
        <w:t>, съществуващата минисистема за обслужване на едно гише ще бъде разширена към система за обслужване на едно гише (OSS) и ще обхваща, inter alia, други B2C доставки на услуги, които са облагаеми в ЕС</w:t>
      </w:r>
      <w:r w:rsidR="00612024">
        <w:rPr>
          <w:rStyle w:val="FootnoteReference"/>
        </w:rPr>
        <w:footnoteReference w:id="21"/>
      </w:r>
      <w:r>
        <w:t>. Доставчиците, установени в Обединеното кралство, които ще доставят тези други видове услуги на крайни потребители в ЕС, ще трябва да се възползват от „режим извън Съюза“ и да се регистрират за тази цел в една от държавите членки. Доставчиците, установени в Обединеното кралство, които са установени и в държава членка, ще трябва да използват "режим в Съюза" и да се р</w:t>
      </w:r>
      <w:r w:rsidR="00F97B86">
        <w:t>е</w:t>
      </w:r>
      <w:r>
        <w:t>гистрират за тази цел в тази държава членка</w:t>
      </w:r>
      <w:r w:rsidR="00612024">
        <w:rPr>
          <w:rStyle w:val="FootnoteReference"/>
        </w:rPr>
        <w:footnoteReference w:id="22"/>
      </w:r>
      <w:r>
        <w:t>.</w:t>
      </w:r>
    </w:p>
    <w:p w:rsidR="00D576A6" w:rsidRDefault="00D576A6" w:rsidP="00D576A6">
      <w:pPr>
        <w:ind w:left="345" w:firstLine="0"/>
      </w:pPr>
      <w:r>
        <w:t xml:space="preserve">Припомня се обаче, че тъй като MOSS/OSS не е задължителен, доставчиците, установени в Обединеното кралство, които правят доставки на услуги B2C, които се облагат с данък  в ЕС, които не желаят да се възползват от режим </w:t>
      </w:r>
      <w:r w:rsidR="001F1474">
        <w:t>„</w:t>
      </w:r>
      <w:r>
        <w:t>извън Съюза</w:t>
      </w:r>
      <w:r w:rsidR="001F1474">
        <w:t>“</w:t>
      </w:r>
      <w:r>
        <w:t>, следва да се регистрират във всички държави членки, в които се дължи ДДС.</w:t>
      </w:r>
    </w:p>
    <w:p w:rsidR="006E451C" w:rsidRPr="00E830B2" w:rsidRDefault="006E451C" w:rsidP="00E830B2">
      <w:pPr>
        <w:ind w:left="345" w:firstLine="0"/>
      </w:pPr>
    </w:p>
    <w:p w:rsidR="00CF398E" w:rsidRDefault="00144240">
      <w:pPr>
        <w:pStyle w:val="Heading1"/>
        <w:tabs>
          <w:tab w:val="center" w:pos="1205"/>
        </w:tabs>
        <w:ind w:left="-15" w:right="0" w:firstLine="0"/>
        <w:jc w:val="left"/>
      </w:pPr>
      <w:r>
        <w:rPr>
          <w:sz w:val="24"/>
        </w:rPr>
        <w:t>2.</w:t>
      </w:r>
      <w:r>
        <w:rPr>
          <w:rFonts w:ascii="Arial" w:eastAsia="Arial" w:hAnsi="Arial" w:cs="Arial"/>
          <w:sz w:val="24"/>
        </w:rPr>
        <w:t xml:space="preserve"> </w:t>
      </w:r>
      <w:r>
        <w:rPr>
          <w:rFonts w:ascii="Arial" w:eastAsia="Arial" w:hAnsi="Arial" w:cs="Arial"/>
          <w:sz w:val="24"/>
        </w:rPr>
        <w:tab/>
      </w:r>
      <w:r w:rsidR="009C6B5B" w:rsidRPr="009C6B5B">
        <w:rPr>
          <w:sz w:val="24"/>
          <w:szCs w:val="24"/>
        </w:rPr>
        <w:t>Възстановяване на ДДС</w:t>
      </w:r>
      <w:r>
        <w:rPr>
          <w:sz w:val="24"/>
        </w:rPr>
        <w:t xml:space="preserve"> </w:t>
      </w:r>
    </w:p>
    <w:p w:rsidR="00CF398E" w:rsidRDefault="009C6B5B" w:rsidP="009C6B5B">
      <w:pPr>
        <w:spacing w:after="280"/>
        <w:ind w:left="477" w:right="13"/>
      </w:pPr>
      <w:r>
        <w:t>Възстановяването на ДДС от държавите членки на данъчно задължени лица, установени извън ЕС, подлежи на следните условия</w:t>
      </w:r>
      <w:r w:rsidR="00144240">
        <w:rPr>
          <w:vertAlign w:val="superscript"/>
        </w:rPr>
        <w:footnoteReference w:id="23"/>
      </w:r>
      <w:r w:rsidR="00144240">
        <w:t xml:space="preserve">: </w:t>
      </w:r>
    </w:p>
    <w:p w:rsidR="00CF398E" w:rsidRDefault="009C6B5B" w:rsidP="009C6B5B">
      <w:pPr>
        <w:numPr>
          <w:ilvl w:val="0"/>
          <w:numId w:val="6"/>
        </w:numPr>
        <w:ind w:right="13" w:hanging="360"/>
      </w:pPr>
      <w:r>
        <w:t>заявлението трябва да бъде подадено директно на държавата членка, от която се иска възстановяване, в съответствие с договореностите, определени от тази държава членка (член 3, парагра</w:t>
      </w:r>
      <w:r w:rsidR="00324264">
        <w:t>ф 1 от 13</w:t>
      </w:r>
      <w:r w:rsidRPr="00324264">
        <w:rPr>
          <w:vertAlign w:val="superscript"/>
        </w:rPr>
        <w:t xml:space="preserve">та </w:t>
      </w:r>
      <w:r>
        <w:t xml:space="preserve">директива на Съвета </w:t>
      </w:r>
      <w:r w:rsidR="00144240">
        <w:t>86/560/</w:t>
      </w:r>
      <w:r>
        <w:t>ЕИО</w:t>
      </w:r>
      <w:r w:rsidR="00144240">
        <w:t xml:space="preserve"> </w:t>
      </w:r>
      <w:r>
        <w:t>от</w:t>
      </w:r>
      <w:r w:rsidR="00144240">
        <w:t xml:space="preserve"> 17 </w:t>
      </w:r>
      <w:r>
        <w:t>ноември</w:t>
      </w:r>
      <w:r w:rsidR="00144240">
        <w:t xml:space="preserve"> 1986 </w:t>
      </w:r>
      <w:r w:rsidRPr="009C6B5B">
        <w:t>относно хармонизиране на</w:t>
      </w:r>
      <w:r>
        <w:t xml:space="preserve"> законодателствата на държавите </w:t>
      </w:r>
      <w:r w:rsidRPr="009C6B5B">
        <w:t>членки в областта на данъка върху оборота — правила за възстановяване на данъка върху добавената стойност на данъчнозадължени лица, които не са установени на територията на Общността</w:t>
      </w:r>
      <w:r w:rsidR="00144240">
        <w:rPr>
          <w:vertAlign w:val="superscript"/>
        </w:rPr>
        <w:footnoteReference w:id="24"/>
      </w:r>
      <w:r w:rsidR="00144240">
        <w:t xml:space="preserve"> - </w:t>
      </w:r>
      <w:r>
        <w:t>от тук нататък</w:t>
      </w:r>
      <w:r w:rsidR="009B6715">
        <w:t xml:space="preserve"> </w:t>
      </w:r>
      <w:r w:rsidR="00144240">
        <w:t>13</w:t>
      </w:r>
      <w:r>
        <w:rPr>
          <w:vertAlign w:val="superscript"/>
        </w:rPr>
        <w:t>та</w:t>
      </w:r>
      <w:r>
        <w:t xml:space="preserve"> Директива за ДДС</w:t>
      </w:r>
      <w:r w:rsidR="00144240">
        <w:t xml:space="preserve">'); </w:t>
      </w:r>
    </w:p>
    <w:p w:rsidR="00CF398E" w:rsidRDefault="00D91CCA" w:rsidP="00084F86">
      <w:pPr>
        <w:numPr>
          <w:ilvl w:val="0"/>
          <w:numId w:val="6"/>
        </w:numPr>
        <w:ind w:right="13" w:hanging="360"/>
      </w:pPr>
      <w:r>
        <w:t>възстановяването на ДДС може да подлежи на условие за реципрочност (което означава, че възстановяването се позволява, само ако съответната трета държава или територия също предоставя възстановяване на ДДС на данъчно задължени лица, установени в съответната държава членка (член 2, параграф 2 от 13-ата директива за ДДС);</w:t>
      </w:r>
    </w:p>
    <w:p w:rsidR="00CF398E" w:rsidRDefault="00E624A3" w:rsidP="00084F86">
      <w:pPr>
        <w:numPr>
          <w:ilvl w:val="0"/>
          <w:numId w:val="6"/>
        </w:numPr>
        <w:ind w:right="13" w:hanging="360"/>
      </w:pPr>
      <w:r>
        <w:t>всяка държава членка може да изиска от данъчнозадълженото лице, установено в трета държава или територия, да определи данъчен представител за целите на възстановяването на ДДС (член 2, параграф 3 от 13-ата директива за ДДС).</w:t>
      </w:r>
    </w:p>
    <w:p w:rsidR="00CF398E" w:rsidRDefault="00E624A3">
      <w:pPr>
        <w:spacing w:after="563"/>
        <w:ind w:left="477" w:right="13"/>
      </w:pPr>
      <w:r>
        <w:t>В съответствие със Споразумението за оттегляне</w:t>
      </w:r>
      <w:r w:rsidR="00144240">
        <w:rPr>
          <w:vertAlign w:val="superscript"/>
        </w:rPr>
        <w:footnoteReference w:id="25"/>
      </w:r>
      <w:r>
        <w:t xml:space="preserve">, считано от края на преходния период, тези правила се прилагат за възстановяване </w:t>
      </w:r>
      <w:r w:rsidR="00C90F35">
        <w:t xml:space="preserve">на ДДС във връзка с доставки на услуги </w:t>
      </w:r>
      <w:r>
        <w:t>от държавите членки на данъчнозадължени лица, установени в Обединеното кралство.</w:t>
      </w:r>
    </w:p>
    <w:p w:rsidR="00CF398E" w:rsidRDefault="00DC0CBE">
      <w:pPr>
        <w:pStyle w:val="Heading1"/>
        <w:spacing w:after="504"/>
        <w:ind w:left="-5" w:right="4"/>
      </w:pPr>
      <w:r>
        <w:rPr>
          <w:sz w:val="24"/>
        </w:rPr>
        <w:t>Б.</w:t>
      </w:r>
      <w:r w:rsidRPr="00DC0CBE">
        <w:rPr>
          <w:sz w:val="24"/>
        </w:rPr>
        <w:t xml:space="preserve"> РАЗПОРЕДБИ </w:t>
      </w:r>
      <w:r>
        <w:rPr>
          <w:sz w:val="24"/>
        </w:rPr>
        <w:t>ПО ОТНОШЕНИЕ Н</w:t>
      </w:r>
      <w:r w:rsidRPr="00DC0CBE">
        <w:rPr>
          <w:sz w:val="24"/>
        </w:rPr>
        <w:t>А РАЗДЕЛЯНЕ</w:t>
      </w:r>
      <w:r>
        <w:rPr>
          <w:sz w:val="24"/>
        </w:rPr>
        <w:t>ТО</w:t>
      </w:r>
      <w:r w:rsidRPr="00DC0CBE">
        <w:rPr>
          <w:sz w:val="24"/>
        </w:rPr>
        <w:t xml:space="preserve"> ОТ СПОРАЗУМЕНИЕТО ЗА ОТТЕГЛЯНЕ</w:t>
      </w:r>
    </w:p>
    <w:p w:rsidR="00CF398E" w:rsidRDefault="00144240">
      <w:pPr>
        <w:pStyle w:val="Heading1"/>
        <w:ind w:left="465" w:right="4" w:hanging="480"/>
      </w:pPr>
      <w:r>
        <w:rPr>
          <w:sz w:val="24"/>
        </w:rPr>
        <w:t>1.</w:t>
      </w:r>
      <w:r>
        <w:rPr>
          <w:rFonts w:ascii="Arial" w:eastAsia="Arial" w:hAnsi="Arial" w:cs="Arial"/>
          <w:sz w:val="24"/>
        </w:rPr>
        <w:t xml:space="preserve"> </w:t>
      </w:r>
      <w:r w:rsidR="00C90F35">
        <w:rPr>
          <w:sz w:val="24"/>
        </w:rPr>
        <w:t>ДОСТАВКИ НА УСЛУГИ</w:t>
      </w:r>
    </w:p>
    <w:p w:rsidR="00CF398E" w:rsidRDefault="00C90F35">
      <w:pPr>
        <w:ind w:left="477" w:right="13"/>
      </w:pPr>
      <w:r w:rsidRPr="00C90F35">
        <w:t>В съответствие с член 51, параграф 2 от Споразумението за оттегляне</w:t>
      </w:r>
      <w:r w:rsidR="00F71BA4">
        <w:t>,</w:t>
      </w:r>
      <w:r w:rsidRPr="00C90F35">
        <w:t xml:space="preserve"> Директивата за ДДС ще продължи да се прилага до 5 години след края на преходния период по отношение на правата и задълженията на данъчнозадължените лица по отношение на операции с трансграничен елемент между Обединеното кралство и държавите членки, които са били извършени преди края на преходния период.</w:t>
      </w:r>
      <w:r w:rsidR="00144240">
        <w:t xml:space="preserve"> </w:t>
      </w:r>
    </w:p>
    <w:p w:rsidR="00C90F35" w:rsidRDefault="00C90F35">
      <w:pPr>
        <w:ind w:left="477" w:right="13"/>
      </w:pPr>
      <w:r w:rsidRPr="00C90F35">
        <w:t>Това е от значение по-специално за правата и задълженията по отношение на използването на MOSS от доставчици извън ЕС, идентифицирани в Обединеното кралство, както и доставчици, установени в Обединеното кралство, по отношение на далекосъобщенията, радио- и телевизионните услуги и електронните услуги, предоставяни в държавите членки, и от доставчици извън ЕС, регистрирани в държавите членки, както и доставчици, установени в държавите членки, по отношение на сходни услуги, предоставяни в Обединеното кралство, до края на преходния период.</w:t>
      </w:r>
    </w:p>
    <w:p w:rsidR="00C90F35" w:rsidRDefault="00C90F35">
      <w:pPr>
        <w:ind w:left="477" w:right="13"/>
      </w:pPr>
      <w:r w:rsidRPr="00C90F35">
        <w:t>Следователно задълженията за плащане и докладване в Директивата за ДДС по отношение на тези услуги, предоставяни до края на преходния период, ще останат приложими и след края на преходния период. По този начин данъчнозадължените лица, регистрирани за MOSS в Обединеното кралство и в държавите членки, ще бъдат задължени да заплатят ДДС за тези услуги и ще трябва да подадат своите декларации по ДДС по MOSS за четвъртото тримесечие на 2020 г. до 20 януари 2021 г.</w:t>
      </w:r>
    </w:p>
    <w:p w:rsidR="00C90F35" w:rsidRDefault="00C90F35">
      <w:pPr>
        <w:ind w:left="477" w:right="13"/>
      </w:pPr>
      <w:r w:rsidRPr="00C90F35">
        <w:t>Въпреки това, в съответствие с член 51, параграф 4 от Споразумението за оттегляне, корекциите по MOSS декларациите във връзка с услуги, доставени преди края на преходния период, ще трябва да бъдат подадени най-късно на 31 декември 2021 г.</w:t>
      </w:r>
    </w:p>
    <w:p w:rsidR="00C90F35" w:rsidRDefault="00C90F35" w:rsidP="00C90F35">
      <w:pPr>
        <w:ind w:left="477" w:right="13"/>
      </w:pPr>
      <w:r>
        <w:t>Член 51, параграф 2 от Споразумението за оттегляне е приложим и за други задължения за докладване, като например обобщените декларации за</w:t>
      </w:r>
      <w:r w:rsidR="0031245E">
        <w:rPr>
          <w:lang w:val="en-US"/>
        </w:rPr>
        <w:t>, inter alia,</w:t>
      </w:r>
      <w:r>
        <w:t xml:space="preserve"> услугите B2B в рамките на ЕС. До края на януари 2021 г. данъчнозадължените лица, установени в Обединеното кралство, ще трябва да подадат своите обобщени декларации на данъчните органи на Обединеното кралство за услуги, предоставени през 2020 г. на данъчнозадължени лица, установени в държавите членки. Данъчнозадължените лица, установени в държава членка, ще трябва да подадат своите обобщени декларации на данъчните органи на тази държава членка за услуги, предоставени през 2020 г. на данъчнозадължени лица, установени в Обединеното кралство.  </w:t>
      </w:r>
    </w:p>
    <w:p w:rsidR="00C90F35" w:rsidRDefault="00C90F35" w:rsidP="00C90F35">
      <w:pPr>
        <w:ind w:left="477" w:right="13"/>
      </w:pPr>
      <w:r>
        <w:t>Данъчнозадължените лица следва да предприемат всички необходими мерки, за да гарантират, че могат да предоставят всички необходими доказателства по отношение на доставките на услуги, които са направили или са получили от Обединеното кралство или ЕС преди края на преходния период.</w:t>
      </w:r>
    </w:p>
    <w:p w:rsidR="00C90F35" w:rsidRPr="00EB3FA1" w:rsidRDefault="00C90F35" w:rsidP="00C90F35">
      <w:pPr>
        <w:ind w:left="477" w:right="13"/>
      </w:pPr>
    </w:p>
    <w:p w:rsidR="00CF398E" w:rsidRDefault="00C90F35">
      <w:pPr>
        <w:pStyle w:val="Heading1"/>
        <w:ind w:left="490" w:right="4"/>
      </w:pPr>
      <w:r>
        <w:rPr>
          <w:sz w:val="24"/>
        </w:rPr>
        <w:t>2</w:t>
      </w:r>
      <w:r w:rsidR="00144240">
        <w:rPr>
          <w:sz w:val="24"/>
        </w:rPr>
        <w:t>.</w:t>
      </w:r>
      <w:r w:rsidR="00144240">
        <w:rPr>
          <w:rFonts w:ascii="Arial" w:eastAsia="Arial" w:hAnsi="Arial" w:cs="Arial"/>
          <w:sz w:val="24"/>
        </w:rPr>
        <w:t xml:space="preserve"> </w:t>
      </w:r>
      <w:r w:rsidR="00144240">
        <w:rPr>
          <w:rFonts w:ascii="Arial" w:eastAsia="Arial" w:hAnsi="Arial" w:cs="Arial"/>
          <w:sz w:val="24"/>
        </w:rPr>
        <w:tab/>
      </w:r>
      <w:r w:rsidR="002656B3">
        <w:t>ЗАЯВЛЕНИЯ</w:t>
      </w:r>
      <w:r w:rsidR="00FB4E14" w:rsidRPr="00FB4E14">
        <w:t xml:space="preserve"> ЗА ВЪЗСТАНОВЯВАНЕ, СВЪРЗАНИ С ДДС, ПЛАТЕН ПРЕДИ КРАЯ НА ПРЕХОДНИЯ ПЕРИОД</w:t>
      </w:r>
    </w:p>
    <w:p w:rsidR="00511904" w:rsidRDefault="002656B3" w:rsidP="00511904">
      <w:pPr>
        <w:spacing w:after="258"/>
        <w:ind w:left="477" w:right="13"/>
      </w:pPr>
      <w:r w:rsidRPr="002656B3">
        <w:t>Съгласно член 51, параграф 3 от Споразумението за оттегляне</w:t>
      </w:r>
      <w:r>
        <w:t>,</w:t>
      </w:r>
      <w:r w:rsidRPr="002656B3">
        <w:t xml:space="preserve"> данъчнозадължено лице, установено в една от държавите членки или в Обединеното кралство, продължава да използва електронния портал, създаден от неговата държава на установяване, в съответствие с член 7 от Директива 2008/9/ЕО, за подаване на заявление за електронно възстановяване, което се отнася до ДДС, платен съответно в Обединеното кралство или държава членка,</w:t>
      </w:r>
      <w:r>
        <w:t xml:space="preserve"> преди края на преходния период</w:t>
      </w:r>
      <w:r w:rsidR="00144240">
        <w:t xml:space="preserve">.  </w:t>
      </w:r>
    </w:p>
    <w:p w:rsidR="00CF398E" w:rsidRPr="00511904" w:rsidRDefault="002656B3">
      <w:pPr>
        <w:ind w:left="477" w:right="13"/>
        <w:rPr>
          <w:b/>
        </w:rPr>
      </w:pPr>
      <w:r>
        <w:t xml:space="preserve">Заявлението се подава, съгласно условията на Директивата, </w:t>
      </w:r>
      <w:r w:rsidRPr="00511904">
        <w:rPr>
          <w:b/>
        </w:rPr>
        <w:t xml:space="preserve">най-късно до 31 март 2021 г. </w:t>
      </w:r>
    </w:p>
    <w:p w:rsidR="00CF398E" w:rsidRDefault="00215F16">
      <w:pPr>
        <w:spacing w:after="517"/>
        <w:ind w:left="477" w:right="13"/>
      </w:pPr>
      <w:r w:rsidRPr="00215F16">
        <w:t>Другите правила, предвидени в Директивата за ДДС и Директива 2008/9/ЕО, ще продължат да се прилагат в срок от 5 години след края на прехода, по отношение на тези заявления за възстановяване и предишн</w:t>
      </w:r>
      <w:r>
        <w:t>ите, свързани с ДДС, начисляван</w:t>
      </w:r>
      <w:r w:rsidR="00144240">
        <w:rPr>
          <w:vertAlign w:val="superscript"/>
        </w:rPr>
        <w:footnoteReference w:id="26"/>
      </w:r>
      <w:r w:rsidR="00144240">
        <w:t xml:space="preserve"> </w:t>
      </w:r>
      <w:r w:rsidRPr="00215F16">
        <w:t>преди края на преходния период.</w:t>
      </w:r>
    </w:p>
    <w:p w:rsidR="00511904" w:rsidRDefault="00511904" w:rsidP="00511904">
      <w:pPr>
        <w:pBdr>
          <w:top w:val="single" w:sz="4" w:space="0" w:color="000000"/>
          <w:left w:val="single" w:sz="4" w:space="0" w:color="000000"/>
          <w:bottom w:val="single" w:sz="4" w:space="0" w:color="000000"/>
          <w:right w:val="single" w:sz="4" w:space="0" w:color="000000"/>
        </w:pBdr>
        <w:spacing w:after="213" w:line="259" w:lineRule="auto"/>
        <w:ind w:left="-15" w:firstLine="0"/>
        <w:jc w:val="left"/>
      </w:pPr>
      <w:r>
        <w:rPr>
          <w:b/>
        </w:rPr>
        <w:t xml:space="preserve">Съвет към заинтересованите страни: </w:t>
      </w:r>
    </w:p>
    <w:p w:rsidR="00511904" w:rsidRDefault="00511904" w:rsidP="00511904">
      <w:pPr>
        <w:pBdr>
          <w:top w:val="single" w:sz="4" w:space="0" w:color="000000"/>
          <w:left w:val="single" w:sz="4" w:space="0" w:color="000000"/>
          <w:bottom w:val="single" w:sz="4" w:space="0" w:color="000000"/>
          <w:right w:val="single" w:sz="4" w:space="0" w:color="000000"/>
        </w:pBdr>
        <w:spacing w:after="260" w:line="249" w:lineRule="auto"/>
        <w:ind w:left="-5"/>
      </w:pPr>
      <w:r>
        <w:t xml:space="preserve">Моля, имайте предвид, че датата </w:t>
      </w:r>
      <w:r w:rsidRPr="00511904">
        <w:rPr>
          <w:b/>
        </w:rPr>
        <w:t>31 март 2021 г.</w:t>
      </w:r>
      <w:r>
        <w:t xml:space="preserve"> представлява дерогация от обичайното правило, че електронните заявленията за възстановяване могат да бъдат подадени до 30 септември на календарната година, следваща периода на възстановяване.  </w:t>
      </w:r>
    </w:p>
    <w:p w:rsidR="00511904" w:rsidRDefault="00511904" w:rsidP="00511904">
      <w:pPr>
        <w:pBdr>
          <w:top w:val="single" w:sz="4" w:space="0" w:color="000000"/>
          <w:left w:val="single" w:sz="4" w:space="0" w:color="000000"/>
          <w:bottom w:val="single" w:sz="4" w:space="0" w:color="000000"/>
          <w:right w:val="single" w:sz="4" w:space="0" w:color="000000"/>
        </w:pBdr>
        <w:spacing w:after="260" w:line="249" w:lineRule="auto"/>
        <w:ind w:left="-5"/>
      </w:pPr>
      <w:r>
        <w:t>Заинтересованите страни се съветват да подадат навреме заявленията си за възстановяване по електронен път.</w:t>
      </w:r>
    </w:p>
    <w:p w:rsidR="00511904" w:rsidRDefault="00511904" w:rsidP="00511904">
      <w:pPr>
        <w:pBdr>
          <w:top w:val="single" w:sz="4" w:space="0" w:color="000000"/>
          <w:left w:val="single" w:sz="4" w:space="0" w:color="000000"/>
          <w:bottom w:val="single" w:sz="4" w:space="0" w:color="000000"/>
          <w:right w:val="single" w:sz="4" w:space="0" w:color="000000"/>
        </w:pBdr>
        <w:spacing w:after="260" w:line="249" w:lineRule="auto"/>
        <w:ind w:left="-5"/>
      </w:pPr>
    </w:p>
    <w:p w:rsidR="00CF398E" w:rsidRDefault="00A32AD2">
      <w:pPr>
        <w:spacing w:after="0"/>
        <w:ind w:left="10" w:right="13"/>
      </w:pPr>
      <w:r>
        <w:t xml:space="preserve">Уебсайтът на Комисията за данъчно облагане и митнически съюз </w:t>
      </w:r>
      <w:hyperlink r:id="rId10">
        <w:r w:rsidR="00144240">
          <w:t>(</w:t>
        </w:r>
      </w:hyperlink>
      <w:hyperlink r:id="rId11">
        <w:r w:rsidR="00144240">
          <w:rPr>
            <w:color w:val="0000FF"/>
            <w:u w:val="single" w:color="0000FF"/>
          </w:rPr>
          <w:t>https://ec.europa.eu/taxation_customs/index_en</w:t>
        </w:r>
      </w:hyperlink>
      <w:hyperlink r:id="rId12">
        <w:r w:rsidR="00144240">
          <w:t>)</w:t>
        </w:r>
      </w:hyperlink>
      <w:r w:rsidR="00144240">
        <w:t xml:space="preserve"> </w:t>
      </w:r>
      <w:r>
        <w:t xml:space="preserve">предоставя обща информация във връзка с последствията от оттеглянето на Обединеното кралство в областта на ДДС. Тези страници ще бъдат актуализирани, при необходимост. </w:t>
      </w:r>
    </w:p>
    <w:p w:rsidR="00CF398E" w:rsidRDefault="00144240" w:rsidP="002A30C9">
      <w:pPr>
        <w:spacing w:after="216" w:line="259" w:lineRule="auto"/>
        <w:ind w:left="1078" w:firstLine="0"/>
        <w:jc w:val="left"/>
      </w:pPr>
      <w:r>
        <w:t xml:space="preserve"> </w:t>
      </w:r>
    </w:p>
    <w:p w:rsidR="00CF398E" w:rsidRDefault="00A32AD2">
      <w:pPr>
        <w:spacing w:after="12"/>
        <w:ind w:left="10" w:right="13"/>
      </w:pPr>
      <w:r>
        <w:t>Европейска комисия</w:t>
      </w:r>
    </w:p>
    <w:p w:rsidR="00CF398E" w:rsidRDefault="00A32AD2" w:rsidP="00A32AD2">
      <w:pPr>
        <w:ind w:left="10" w:right="13"/>
      </w:pPr>
      <w:r>
        <w:t>Генерална дирекция „Данъчно облагане и Митнически съюз“</w:t>
      </w:r>
      <w:r w:rsidR="00144240">
        <w:t xml:space="preserve"> </w:t>
      </w:r>
    </w:p>
    <w:sectPr w:rsidR="00CF398E">
      <w:footerReference w:type="even" r:id="rId13"/>
      <w:footerReference w:type="default" r:id="rId14"/>
      <w:headerReference w:type="first" r:id="rId15"/>
      <w:footerReference w:type="first" r:id="rId16"/>
      <w:pgSz w:w="11906" w:h="16838"/>
      <w:pgMar w:top="1026" w:right="1678" w:bottom="1078" w:left="1587"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1244" w:rsidRDefault="00391244">
      <w:pPr>
        <w:spacing w:after="0" w:line="240" w:lineRule="auto"/>
      </w:pPr>
      <w:r>
        <w:separator/>
      </w:r>
    </w:p>
  </w:endnote>
  <w:endnote w:type="continuationSeparator" w:id="0">
    <w:p w:rsidR="00391244" w:rsidRDefault="00391244">
      <w:pPr>
        <w:spacing w:after="0" w:line="240" w:lineRule="auto"/>
      </w:pPr>
      <w:r>
        <w:continuationSeparator/>
      </w:r>
    </w:p>
  </w:endnote>
  <w:endnote w:id="1">
    <w:p w:rsidR="00D23636" w:rsidRDefault="00D23636" w:rsidP="00511904">
      <w:pPr>
        <w:pStyle w:val="EndnoteText"/>
      </w:pPr>
      <w:r>
        <w:rPr>
          <w:rStyle w:val="EndnoteReference"/>
        </w:rPr>
        <w:endnoteRef/>
      </w:r>
      <w:r>
        <w:t xml:space="preserve"> </w:t>
      </w:r>
      <w:r w:rsidRPr="00D23636">
        <w:t>REV3 по</w:t>
      </w:r>
      <w:r>
        <w:t>сочва</w:t>
      </w:r>
      <w:r w:rsidRPr="00D23636">
        <w:t xml:space="preserve"> сроковете за искания за възстановяване, определени в Споразумението за оттегляне, и отразява факта, че прилагането на новите правила за мини-системата за обслужване на едно гише в ЕС е отложено за м. юли 2021 г.</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923" w:rsidRDefault="00CE6923">
    <w:pPr>
      <w:spacing w:after="0" w:line="259" w:lineRule="auto"/>
      <w:ind w:left="545" w:firstLine="0"/>
      <w:jc w:val="center"/>
    </w:pPr>
    <w:r>
      <w:fldChar w:fldCharType="begin"/>
    </w:r>
    <w:r>
      <w:instrText xml:space="preserve"> PAGE   \* MERGEFORMAT </w:instrText>
    </w:r>
    <w:r>
      <w:fldChar w:fldCharType="separate"/>
    </w:r>
    <w:r>
      <w:rPr>
        <w:rFonts w:ascii="Arial" w:eastAsia="Arial" w:hAnsi="Arial" w:cs="Arial"/>
        <w:sz w:val="16"/>
      </w:rPr>
      <w:t>2</w:t>
    </w:r>
    <w:r>
      <w:rPr>
        <w:rFonts w:ascii="Arial" w:eastAsia="Arial" w:hAnsi="Arial" w:cs="Arial"/>
        <w:sz w:val="16"/>
      </w:rPr>
      <w:fldChar w:fldCharType="end"/>
    </w:r>
    <w:r>
      <w:rPr>
        <w:rFonts w:ascii="Arial" w:eastAsia="Arial" w:hAnsi="Arial" w:cs="Arial"/>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923" w:rsidRDefault="00CE6923">
    <w:pPr>
      <w:spacing w:after="0" w:line="259" w:lineRule="auto"/>
      <w:ind w:left="545" w:firstLine="0"/>
      <w:jc w:val="center"/>
    </w:pPr>
    <w:r>
      <w:fldChar w:fldCharType="begin"/>
    </w:r>
    <w:r>
      <w:instrText xml:space="preserve"> PAGE   \* MERGEFORMAT </w:instrText>
    </w:r>
    <w:r>
      <w:fldChar w:fldCharType="separate"/>
    </w:r>
    <w:r w:rsidR="00AB1013" w:rsidRPr="00AB1013">
      <w:rPr>
        <w:rFonts w:ascii="Arial" w:eastAsia="Arial" w:hAnsi="Arial" w:cs="Arial"/>
        <w:noProof/>
        <w:sz w:val="16"/>
      </w:rPr>
      <w:t>9</w:t>
    </w:r>
    <w:r>
      <w:rPr>
        <w:rFonts w:ascii="Arial" w:eastAsia="Arial" w:hAnsi="Arial" w:cs="Arial"/>
        <w:sz w:val="16"/>
      </w:rPr>
      <w:fldChar w:fldCharType="end"/>
    </w:r>
    <w:r>
      <w:rPr>
        <w:rFonts w:ascii="Arial" w:eastAsia="Arial" w:hAnsi="Arial" w:cs="Arial"/>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923" w:rsidRDefault="00CE6923">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1244" w:rsidRDefault="00391244">
      <w:pPr>
        <w:tabs>
          <w:tab w:val="center" w:pos="2407"/>
        </w:tabs>
        <w:spacing w:after="228" w:line="259" w:lineRule="auto"/>
        <w:ind w:left="0" w:firstLine="0"/>
        <w:jc w:val="left"/>
      </w:pPr>
      <w:r>
        <w:separator/>
      </w:r>
    </w:p>
  </w:footnote>
  <w:footnote w:type="continuationSeparator" w:id="0">
    <w:p w:rsidR="00391244" w:rsidRDefault="00391244">
      <w:pPr>
        <w:tabs>
          <w:tab w:val="center" w:pos="2407"/>
        </w:tabs>
        <w:spacing w:after="228" w:line="259" w:lineRule="auto"/>
        <w:ind w:left="0" w:firstLine="0"/>
        <w:jc w:val="left"/>
      </w:pPr>
      <w:r>
        <w:continuationSeparator/>
      </w:r>
    </w:p>
  </w:footnote>
  <w:footnote w:id="1">
    <w:p w:rsidR="00CE6923" w:rsidRDefault="00CE6923">
      <w:pPr>
        <w:pStyle w:val="footnotedescription"/>
        <w:tabs>
          <w:tab w:val="center" w:pos="2407"/>
        </w:tabs>
      </w:pPr>
      <w:r>
        <w:rPr>
          <w:rStyle w:val="footnotemark"/>
        </w:rPr>
        <w:footnoteRef/>
      </w:r>
      <w:r>
        <w:t xml:space="preserve"> Трета държава е държава, която не е членка на ЕС. </w:t>
      </w:r>
    </w:p>
  </w:footnote>
  <w:footnote w:id="2">
    <w:p w:rsidR="00CE6923" w:rsidRDefault="00CE6923" w:rsidP="00544AA0">
      <w:pPr>
        <w:pStyle w:val="footnotedescription"/>
        <w:tabs>
          <w:tab w:val="right" w:pos="8642"/>
        </w:tabs>
        <w:spacing w:after="1"/>
      </w:pPr>
      <w:r>
        <w:rPr>
          <w:rStyle w:val="footnotemark"/>
        </w:rPr>
        <w:footnoteRef/>
      </w:r>
      <w:r>
        <w:t xml:space="preserve"> Споразумение за оттеглянето на Обединеното кралство Великобритания и Северна Ирландия от Европейския съюз и Европейската общност за атомна енергия, ОВ бр. 29, 31.1.2020, стр. 7 (“Споразумение за оттегляне”). </w:t>
      </w:r>
    </w:p>
  </w:footnote>
  <w:footnote w:id="3">
    <w:p w:rsidR="00CE6923" w:rsidRDefault="00CE6923">
      <w:pPr>
        <w:pStyle w:val="footnotedescription"/>
        <w:spacing w:after="0" w:line="255" w:lineRule="auto"/>
        <w:ind w:left="358" w:hanging="358"/>
        <w:jc w:val="both"/>
      </w:pPr>
      <w:r>
        <w:rPr>
          <w:rStyle w:val="footnotemark"/>
        </w:rPr>
        <w:footnoteRef/>
      </w:r>
      <w:r>
        <w:t xml:space="preserve"> С няколко изключения, регламентирани в чл. 127 на Споразумението за оттегляне, никое от тях не е съотносимо към настоящото известие. </w:t>
      </w:r>
    </w:p>
  </w:footnote>
  <w:footnote w:id="4">
    <w:p w:rsidR="00CE6923" w:rsidRDefault="00CE6923" w:rsidP="008363C7">
      <w:pPr>
        <w:pStyle w:val="FootnoteText"/>
        <w:ind w:left="153" w:hanging="153"/>
      </w:pPr>
      <w:r>
        <w:rPr>
          <w:rStyle w:val="FootnoteReference"/>
        </w:rPr>
        <w:footnoteRef/>
      </w:r>
      <w:r>
        <w:t xml:space="preserve"> </w:t>
      </w:r>
      <w:r w:rsidRPr="008363C7">
        <w:t xml:space="preserve">По-специално, </w:t>
      </w:r>
      <w:r w:rsidR="009B6715">
        <w:t>С</w:t>
      </w:r>
      <w:r w:rsidRPr="008363C7">
        <w:t>поразумението за свободна търговия не предвижда концепции за вътрешния пазар (в областта на стоките и услугите), като взаимно признаване, „принцип на държава на произход“ и хармонизиране. Споразумение за свободна търговия също така не премахва митническите формалности и проверки, включително тези, отнасящи се до произхода на стоките и техните суровини, както и забраните и ограниченията за внос и износ</w:t>
      </w:r>
      <w:r>
        <w:t>.</w:t>
      </w:r>
    </w:p>
  </w:footnote>
  <w:footnote w:id="5">
    <w:p w:rsidR="00136C7D" w:rsidRDefault="00136C7D" w:rsidP="00136C7D">
      <w:pPr>
        <w:pStyle w:val="FootnoteText"/>
        <w:ind w:left="153" w:hanging="153"/>
      </w:pPr>
      <w:r>
        <w:rPr>
          <w:rStyle w:val="FootnoteReference"/>
        </w:rPr>
        <w:footnoteRef/>
      </w:r>
      <w:r>
        <w:t xml:space="preserve"> Протоколът за Ирландия/Северна Ирландия предвижда, че правилата на ЕС за ДДС относно стоките се прилагат за и в Обединеното кралство по отношение на Северна Ирландия (член 8 от Протокола  и раздел 1 от приложение 3 към посочения Протокол). </w:t>
      </w:r>
      <w:r w:rsidRPr="00D23636">
        <w:rPr>
          <w:b/>
        </w:rPr>
        <w:t>Сделките, включващи услуги, не са обхванати от Протокола</w:t>
      </w:r>
      <w:r>
        <w:t xml:space="preserve">. </w:t>
      </w:r>
    </w:p>
    <w:p w:rsidR="00136C7D" w:rsidRDefault="00136C7D" w:rsidP="00AF05CD">
      <w:pPr>
        <w:pStyle w:val="FootnoteText"/>
        <w:ind w:left="153" w:firstLine="0"/>
      </w:pPr>
      <w:r>
        <w:t>Заинтересованите страни следва да обърнат внимание по-специално на следните последици: I) Данъчнозадължените лица, установени в Северна Ирландия, няма да могат да използват специалния режим за деклариране и плащане на дължимия в ЕС ДДС върху доставките на услуги от B2C („режим в Съюза„). Вместо това те ще трябва да променят идентификацията си по MOSS с „режима извън Съюза“, освен ако не са установени и в една от държавите членки (вж. точка А.1.2 от настоящото известие); Ii) Данъчно задължените лица, установени в Северна Ирландия, които не са установени в някоя от държавите членки, ще трябва да поискат възстановяване на ДДС, платен в държава членка, за придобиването на услуги при условията, предвидени в 13-та Директива 86/560/ЕИО на Съвета (вж. точка А.2 от настоящото известие).</w:t>
      </w:r>
    </w:p>
  </w:footnote>
  <w:footnote w:id="6">
    <w:p w:rsidR="00AE697F" w:rsidRDefault="00AE697F" w:rsidP="00856809">
      <w:pPr>
        <w:pStyle w:val="footnotedescription"/>
        <w:tabs>
          <w:tab w:val="center" w:pos="501"/>
          <w:tab w:val="center" w:pos="1035"/>
          <w:tab w:val="center" w:pos="1736"/>
          <w:tab w:val="center" w:pos="2560"/>
          <w:tab w:val="center" w:pos="3175"/>
          <w:tab w:val="center" w:pos="3824"/>
          <w:tab w:val="center" w:pos="4729"/>
          <w:tab w:val="center" w:pos="5533"/>
          <w:tab w:val="center" w:pos="6420"/>
          <w:tab w:val="center" w:pos="7378"/>
          <w:tab w:val="right" w:pos="8642"/>
        </w:tabs>
        <w:spacing w:after="0"/>
        <w:jc w:val="both"/>
      </w:pPr>
      <w:r>
        <w:rPr>
          <w:rStyle w:val="FootnoteReference"/>
        </w:rPr>
        <w:footnoteRef/>
      </w:r>
      <w:r>
        <w:t xml:space="preserve"> </w:t>
      </w:r>
      <w:hyperlink r:id="rId1" w:history="1">
        <w:r w:rsidRPr="000262AD">
          <w:rPr>
            <w:rStyle w:val="Hyperlink"/>
          </w:rPr>
          <w:t>https://ec.europa.eu/taxation_customs/business/vat/telecommunications-broadcasting-electronic-services/</w:t>
        </w:r>
      </w:hyperlink>
      <w:r>
        <w:t xml:space="preserve"> </w:t>
      </w:r>
    </w:p>
  </w:footnote>
  <w:footnote w:id="7">
    <w:p w:rsidR="00AE697F" w:rsidRDefault="00AE697F" w:rsidP="00856809">
      <w:pPr>
        <w:pStyle w:val="footnotedescription"/>
        <w:tabs>
          <w:tab w:val="center" w:pos="501"/>
          <w:tab w:val="center" w:pos="1035"/>
          <w:tab w:val="center" w:pos="1736"/>
          <w:tab w:val="center" w:pos="2560"/>
          <w:tab w:val="center" w:pos="3175"/>
          <w:tab w:val="center" w:pos="3824"/>
          <w:tab w:val="center" w:pos="4729"/>
          <w:tab w:val="center" w:pos="5533"/>
          <w:tab w:val="center" w:pos="6420"/>
          <w:tab w:val="center" w:pos="7378"/>
          <w:tab w:val="right" w:pos="8642"/>
        </w:tabs>
        <w:spacing w:after="0"/>
        <w:jc w:val="both"/>
      </w:pPr>
      <w:r>
        <w:rPr>
          <w:rStyle w:val="FootnoteReference"/>
        </w:rPr>
        <w:footnoteRef/>
      </w:r>
      <w:r>
        <w:t xml:space="preserve"> Публикувано е отделно известие за ДДС третиране на стоки. Вижте</w:t>
      </w:r>
      <w:r w:rsidRPr="00AE697F">
        <w:t xml:space="preserve"> </w:t>
      </w:r>
      <w:hyperlink r:id="rId2" w:history="1">
        <w:r w:rsidRPr="000262AD">
          <w:rPr>
            <w:rStyle w:val="Hyperlink"/>
          </w:rPr>
          <w:t>https://ec.europa.eu/info/european-union-and-united-kingdom-forging-new-partnership/future-partnership/preparing-end-transition-period_en</w:t>
        </w:r>
      </w:hyperlink>
      <w:r>
        <w:t xml:space="preserve"> </w:t>
      </w:r>
    </w:p>
  </w:footnote>
  <w:footnote w:id="8">
    <w:p w:rsidR="00CE6923" w:rsidRDefault="00CE6923" w:rsidP="00856809">
      <w:pPr>
        <w:pStyle w:val="footnotedescription"/>
        <w:tabs>
          <w:tab w:val="center" w:pos="501"/>
          <w:tab w:val="center" w:pos="1035"/>
          <w:tab w:val="center" w:pos="1736"/>
          <w:tab w:val="center" w:pos="2560"/>
          <w:tab w:val="center" w:pos="3175"/>
          <w:tab w:val="center" w:pos="3824"/>
          <w:tab w:val="center" w:pos="4729"/>
          <w:tab w:val="center" w:pos="5533"/>
          <w:tab w:val="center" w:pos="6420"/>
          <w:tab w:val="center" w:pos="7378"/>
          <w:tab w:val="right" w:pos="8642"/>
        </w:tabs>
        <w:spacing w:after="0"/>
        <w:jc w:val="both"/>
      </w:pPr>
      <w:r>
        <w:rPr>
          <w:rStyle w:val="FootnoteReference"/>
        </w:rPr>
        <w:footnoteRef/>
      </w:r>
      <w:r>
        <w:t xml:space="preserve"> </w:t>
      </w:r>
      <w:hyperlink r:id="rId3">
        <w:r>
          <w:rPr>
            <w:color w:val="0000FF"/>
            <w:u w:val="single" w:color="0000FF"/>
          </w:rPr>
          <w:t>https://ec.europa.eu/info/european</w:t>
        </w:r>
      </w:hyperlink>
      <w:hyperlink r:id="rId4">
        <w:r>
          <w:rPr>
            <w:color w:val="0000FF"/>
            <w:u w:val="single" w:color="0000FF"/>
          </w:rPr>
          <w:t>-</w:t>
        </w:r>
      </w:hyperlink>
      <w:hyperlink r:id="rId5">
        <w:r>
          <w:rPr>
            <w:color w:val="0000FF"/>
            <w:u w:val="single" w:color="0000FF"/>
          </w:rPr>
          <w:t>union</w:t>
        </w:r>
      </w:hyperlink>
      <w:hyperlink r:id="rId6">
        <w:r>
          <w:rPr>
            <w:color w:val="0000FF"/>
            <w:u w:val="single" w:color="0000FF"/>
          </w:rPr>
          <w:t>-</w:t>
        </w:r>
      </w:hyperlink>
      <w:hyperlink r:id="rId7">
        <w:r>
          <w:rPr>
            <w:color w:val="0000FF"/>
            <w:u w:val="single" w:color="0000FF"/>
          </w:rPr>
          <w:t>and</w:t>
        </w:r>
      </w:hyperlink>
      <w:hyperlink r:id="rId8">
        <w:r>
          <w:rPr>
            <w:color w:val="0000FF"/>
            <w:u w:val="single" w:color="0000FF"/>
          </w:rPr>
          <w:t>-</w:t>
        </w:r>
      </w:hyperlink>
      <w:hyperlink r:id="rId9">
        <w:r>
          <w:rPr>
            <w:color w:val="0000FF"/>
            <w:u w:val="single" w:color="0000FF"/>
          </w:rPr>
          <w:t>united</w:t>
        </w:r>
      </w:hyperlink>
      <w:hyperlink r:id="rId10">
        <w:r>
          <w:rPr>
            <w:color w:val="0000FF"/>
            <w:u w:val="single" w:color="0000FF"/>
          </w:rPr>
          <w:t>-</w:t>
        </w:r>
      </w:hyperlink>
      <w:hyperlink r:id="rId11">
        <w:r>
          <w:rPr>
            <w:color w:val="0000FF"/>
            <w:u w:val="single" w:color="0000FF"/>
          </w:rPr>
          <w:t>kingdom</w:t>
        </w:r>
      </w:hyperlink>
      <w:hyperlink r:id="rId12">
        <w:r>
          <w:rPr>
            <w:color w:val="0000FF"/>
            <w:u w:val="single" w:color="0000FF"/>
          </w:rPr>
          <w:t>-</w:t>
        </w:r>
      </w:hyperlink>
      <w:hyperlink r:id="rId13">
        <w:r>
          <w:rPr>
            <w:color w:val="0000FF"/>
            <w:u w:val="single" w:color="0000FF"/>
          </w:rPr>
          <w:t>forging</w:t>
        </w:r>
      </w:hyperlink>
      <w:hyperlink r:id="rId14">
        <w:r>
          <w:rPr>
            <w:color w:val="0000FF"/>
            <w:u w:val="single" w:color="0000FF"/>
          </w:rPr>
          <w:t>-</w:t>
        </w:r>
      </w:hyperlink>
      <w:hyperlink r:id="rId15">
        <w:r>
          <w:rPr>
            <w:color w:val="0000FF"/>
            <w:u w:val="single" w:color="0000FF"/>
          </w:rPr>
          <w:t>new</w:t>
        </w:r>
      </w:hyperlink>
      <w:hyperlink r:id="rId16">
        <w:r>
          <w:rPr>
            <w:color w:val="0000FF"/>
            <w:u w:val="single" w:color="0000FF"/>
          </w:rPr>
          <w:t>-</w:t>
        </w:r>
      </w:hyperlink>
      <w:hyperlink r:id="rId17">
        <w:r>
          <w:rPr>
            <w:color w:val="0000FF"/>
            <w:u w:val="single" w:color="0000FF"/>
          </w:rPr>
          <w:t>partnership/future</w:t>
        </w:r>
      </w:hyperlink>
      <w:hyperlink r:id="rId18"/>
      <w:hyperlink r:id="rId19">
        <w:r>
          <w:rPr>
            <w:color w:val="0000FF"/>
            <w:u w:val="single" w:color="0000FF"/>
          </w:rPr>
          <w:t>partnership/preparing</w:t>
        </w:r>
      </w:hyperlink>
      <w:hyperlink r:id="rId20">
        <w:r>
          <w:rPr>
            <w:color w:val="0000FF"/>
            <w:u w:val="single" w:color="0000FF"/>
          </w:rPr>
          <w:t>-</w:t>
        </w:r>
      </w:hyperlink>
      <w:hyperlink r:id="rId21">
        <w:r>
          <w:rPr>
            <w:color w:val="0000FF"/>
            <w:u w:val="single" w:color="0000FF"/>
          </w:rPr>
          <w:t>end</w:t>
        </w:r>
      </w:hyperlink>
      <w:hyperlink r:id="rId22">
        <w:r>
          <w:rPr>
            <w:color w:val="0000FF"/>
            <w:u w:val="single" w:color="0000FF"/>
          </w:rPr>
          <w:t>-</w:t>
        </w:r>
      </w:hyperlink>
      <w:hyperlink r:id="rId23">
        <w:r>
          <w:rPr>
            <w:color w:val="0000FF"/>
            <w:u w:val="single" w:color="0000FF"/>
          </w:rPr>
          <w:t>transition</w:t>
        </w:r>
      </w:hyperlink>
      <w:hyperlink r:id="rId24">
        <w:r>
          <w:rPr>
            <w:color w:val="0000FF"/>
            <w:u w:val="single" w:color="0000FF"/>
          </w:rPr>
          <w:t>-</w:t>
        </w:r>
      </w:hyperlink>
      <w:hyperlink r:id="rId25">
        <w:r>
          <w:rPr>
            <w:color w:val="0000FF"/>
            <w:u w:val="single" w:color="0000FF"/>
          </w:rPr>
          <w:t>period_en</w:t>
        </w:r>
      </w:hyperlink>
      <w:hyperlink r:id="rId26">
        <w:r>
          <w:t xml:space="preserve"> </w:t>
        </w:r>
      </w:hyperlink>
    </w:p>
  </w:footnote>
  <w:footnote w:id="9">
    <w:p w:rsidR="00CE6923" w:rsidRDefault="00CE6923" w:rsidP="00856809">
      <w:pPr>
        <w:pStyle w:val="footnotedescription"/>
        <w:spacing w:after="238" w:line="240" w:lineRule="auto"/>
        <w:jc w:val="both"/>
      </w:pPr>
      <w:r>
        <w:rPr>
          <w:rStyle w:val="FootnoteReference"/>
        </w:rPr>
        <w:footnoteRef/>
      </w:r>
      <w:r>
        <w:t xml:space="preserve"> </w:t>
      </w:r>
      <w:hyperlink r:id="rId27" w:history="1">
        <w:r w:rsidR="001E5B7B" w:rsidRPr="000262AD">
          <w:rPr>
            <w:rStyle w:val="Hyperlink"/>
          </w:rPr>
          <w:t>https://ec.europa.eu/taxation_customs/business/vat/modernising-vat-cross-border-ecommerce_en</w:t>
        </w:r>
      </w:hyperlink>
      <w:r w:rsidR="001E5B7B">
        <w:t xml:space="preserve"> </w:t>
      </w:r>
    </w:p>
  </w:footnote>
  <w:footnote w:id="10">
    <w:p w:rsidR="00CE6923" w:rsidRDefault="00CE6923" w:rsidP="00794D74">
      <w:pPr>
        <w:pStyle w:val="footnotedescription"/>
        <w:tabs>
          <w:tab w:val="center" w:pos="501"/>
          <w:tab w:val="center" w:pos="1035"/>
          <w:tab w:val="center" w:pos="1736"/>
          <w:tab w:val="center" w:pos="2560"/>
          <w:tab w:val="center" w:pos="3175"/>
          <w:tab w:val="center" w:pos="3824"/>
          <w:tab w:val="center" w:pos="4729"/>
          <w:tab w:val="center" w:pos="5533"/>
          <w:tab w:val="center" w:pos="6420"/>
          <w:tab w:val="center" w:pos="7378"/>
          <w:tab w:val="right" w:pos="8642"/>
        </w:tabs>
        <w:spacing w:after="0"/>
      </w:pPr>
      <w:r>
        <w:rPr>
          <w:rStyle w:val="FootnoteReference"/>
        </w:rPr>
        <w:footnoteRef/>
      </w:r>
      <w:r>
        <w:t xml:space="preserve"> </w:t>
      </w:r>
      <w:hyperlink r:id="rId28">
        <w:r>
          <w:rPr>
            <w:color w:val="0000FF"/>
            <w:u w:val="single" w:color="0000FF"/>
          </w:rPr>
          <w:t>https://ec.europa.eu/taxation_customs/business/vat_en</w:t>
        </w:r>
      </w:hyperlink>
      <w:hyperlink r:id="rId29">
        <w:r>
          <w:t xml:space="preserve"> </w:t>
        </w:r>
      </w:hyperlink>
    </w:p>
  </w:footnote>
  <w:footnote w:id="11">
    <w:p w:rsidR="00EC37A4" w:rsidRDefault="00EC37A4" w:rsidP="00EC37A4">
      <w:pPr>
        <w:pStyle w:val="footnotedescription"/>
        <w:spacing w:after="223" w:line="247" w:lineRule="auto"/>
        <w:ind w:left="358" w:hanging="358"/>
        <w:jc w:val="both"/>
      </w:pPr>
      <w:r>
        <w:rPr>
          <w:rStyle w:val="FootnoteReference"/>
        </w:rPr>
        <w:footnoteRef/>
      </w:r>
      <w:r>
        <w:t xml:space="preserve"> </w:t>
      </w:r>
      <w:r w:rsidRPr="00EC37A4">
        <w:t>Директива 2006/112/ЕО на Съвета от 28 ноември 2006 г. относно общата система на данъка върху добавената стойност (ОВ L 347, 11.12.2006 г., стр. 1), по-долу „Директивата за ДДС“ и Директива 2008/9/ЕО на Съвета от 12 февруари 2008 г. за определяне на подробни правила за възстановяването на данъка върху добавената стойност, предвидена в Директива 2006/112/ЕО, на данъчнозадължените лица, които не са установени в държавата членка по възстановяване, а са установени в друга държава членка, ОВ L 44, 20.2.2008 г., стр. 23.</w:t>
      </w:r>
    </w:p>
  </w:footnote>
  <w:footnote w:id="12">
    <w:p w:rsidR="00E20C38" w:rsidRDefault="00E20C38" w:rsidP="00E20C38">
      <w:pPr>
        <w:pStyle w:val="footnotedescription"/>
        <w:spacing w:after="230"/>
      </w:pPr>
      <w:r>
        <w:rPr>
          <w:rStyle w:val="FootnoteReference"/>
        </w:rPr>
        <w:footnoteRef/>
      </w:r>
      <w:r>
        <w:t xml:space="preserve"> </w:t>
      </w:r>
      <w:r w:rsidRPr="00E20C38">
        <w:t>Целта не е да се предостави в настоящото известие изчерпателен преглед на всички правила за доставка на услуги; обяснени са само най-основните и актуални ситуации. Може да има други или специфични правила в зависимост от вида на услугите и държавите членки също имат възможност да прилагат, при определени обстоятелства, правила за „ефективно използване и удоволствие“, за да се разглеждат определени услуги като вътрешни или извън ЕС, докато съгласно общите правила те съответно биха се осъществявали извън или вътре в ЕС.</w:t>
      </w:r>
    </w:p>
  </w:footnote>
  <w:footnote w:id="13">
    <w:p w:rsidR="00A9554D" w:rsidRDefault="00A9554D" w:rsidP="00A9554D">
      <w:pPr>
        <w:pStyle w:val="footnotedescription"/>
        <w:spacing w:after="230"/>
      </w:pPr>
      <w:r>
        <w:rPr>
          <w:rStyle w:val="FootnoteReference"/>
        </w:rPr>
        <w:footnoteRef/>
      </w:r>
      <w:r>
        <w:t xml:space="preserve"> Предприятие към предприятие</w:t>
      </w:r>
    </w:p>
  </w:footnote>
  <w:footnote w:id="14">
    <w:p w:rsidR="00A9554D" w:rsidRDefault="00A9554D" w:rsidP="00A9554D">
      <w:pPr>
        <w:pStyle w:val="footnotedescription"/>
        <w:spacing w:after="230"/>
      </w:pPr>
      <w:r>
        <w:rPr>
          <w:rStyle w:val="FootnoteReference"/>
        </w:rPr>
        <w:footnoteRef/>
      </w:r>
      <w:r>
        <w:t xml:space="preserve"> Предприятие, установено в Обединеното кралство</w:t>
      </w:r>
    </w:p>
  </w:footnote>
  <w:footnote w:id="15">
    <w:p w:rsidR="00A9554D" w:rsidRDefault="00A9554D" w:rsidP="00A9554D">
      <w:pPr>
        <w:pStyle w:val="footnotedescription"/>
        <w:spacing w:after="230"/>
      </w:pPr>
      <w:r>
        <w:rPr>
          <w:rStyle w:val="FootnoteReference"/>
        </w:rPr>
        <w:footnoteRef/>
      </w:r>
      <w:r>
        <w:t xml:space="preserve"> Предприятие, установено в ЕС</w:t>
      </w:r>
    </w:p>
  </w:footnote>
  <w:footnote w:id="16">
    <w:p w:rsidR="00A9554D" w:rsidRDefault="00A9554D" w:rsidP="00A9554D">
      <w:pPr>
        <w:pStyle w:val="footnotedescription"/>
        <w:spacing w:after="232"/>
      </w:pPr>
      <w:r>
        <w:rPr>
          <w:rStyle w:val="FootnoteReference"/>
        </w:rPr>
        <w:footnoteRef/>
      </w:r>
      <w:r>
        <w:t xml:space="preserve"> Предприятие на клиент</w:t>
      </w:r>
    </w:p>
  </w:footnote>
  <w:footnote w:id="17">
    <w:p w:rsidR="00A9554D" w:rsidRDefault="00A9554D" w:rsidP="00A9554D">
      <w:pPr>
        <w:pStyle w:val="footnotedescription"/>
        <w:spacing w:after="232"/>
      </w:pPr>
      <w:r>
        <w:rPr>
          <w:rStyle w:val="FootnoteReference"/>
        </w:rPr>
        <w:footnoteRef/>
      </w:r>
      <w:r>
        <w:t xml:space="preserve"> Член 204 от Директивата за ДДС</w:t>
      </w:r>
    </w:p>
  </w:footnote>
  <w:footnote w:id="18">
    <w:p w:rsidR="00BD058B" w:rsidRDefault="00BD058B" w:rsidP="00BD058B">
      <w:pPr>
        <w:pStyle w:val="footnotedescription"/>
        <w:spacing w:after="232"/>
      </w:pPr>
      <w:r>
        <w:rPr>
          <w:rStyle w:val="FootnoteReference"/>
        </w:rPr>
        <w:footnoteRef/>
      </w:r>
      <w:r>
        <w:t xml:space="preserve"> Членове 369a да</w:t>
      </w:r>
      <w:r w:rsidRPr="00BD058B">
        <w:t xml:space="preserve"> 369k </w:t>
      </w:r>
      <w:r>
        <w:t>от Директивата за ДДС</w:t>
      </w:r>
      <w:r w:rsidRPr="00BD058B">
        <w:t xml:space="preserve"> (</w:t>
      </w:r>
      <w:r>
        <w:t>Дял</w:t>
      </w:r>
      <w:r w:rsidRPr="00BD058B">
        <w:t xml:space="preserve"> XII, </w:t>
      </w:r>
      <w:r>
        <w:t>Специални режими</w:t>
      </w:r>
      <w:r w:rsidRPr="00BD058B">
        <w:t xml:space="preserve">, </w:t>
      </w:r>
      <w:r>
        <w:t>Глава</w:t>
      </w:r>
      <w:r w:rsidRPr="00BD058B">
        <w:t xml:space="preserve"> 6, </w:t>
      </w:r>
      <w:r>
        <w:t>Раздел</w:t>
      </w:r>
      <w:r w:rsidRPr="00BD058B">
        <w:t xml:space="preserve"> 3).</w:t>
      </w:r>
    </w:p>
  </w:footnote>
  <w:footnote w:id="19">
    <w:p w:rsidR="00BD058B" w:rsidRDefault="00BD058B" w:rsidP="00BD058B">
      <w:pPr>
        <w:pStyle w:val="footnotedescription"/>
        <w:spacing w:after="232"/>
      </w:pPr>
      <w:r>
        <w:rPr>
          <w:rStyle w:val="FootnoteReference"/>
        </w:rPr>
        <w:footnoteRef/>
      </w:r>
      <w:r>
        <w:t xml:space="preserve"> Членове</w:t>
      </w:r>
      <w:r w:rsidRPr="00BD058B">
        <w:t xml:space="preserve"> 358a </w:t>
      </w:r>
      <w:r>
        <w:t>до</w:t>
      </w:r>
      <w:r w:rsidRPr="00BD058B">
        <w:t xml:space="preserve"> 369 от Директивата за ДДС (Дял XII, Специални режими, Глава 6, Раздел </w:t>
      </w:r>
      <w:r>
        <w:t>2</w:t>
      </w:r>
      <w:r w:rsidRPr="00BD058B">
        <w:t>).</w:t>
      </w:r>
    </w:p>
  </w:footnote>
  <w:footnote w:id="20">
    <w:p w:rsidR="00612024" w:rsidRDefault="00612024" w:rsidP="00612024">
      <w:pPr>
        <w:pStyle w:val="footnotedescription"/>
        <w:spacing w:line="245" w:lineRule="auto"/>
        <w:ind w:left="358" w:hanging="358"/>
        <w:jc w:val="both"/>
      </w:pPr>
      <w:r>
        <w:rPr>
          <w:rStyle w:val="FootnoteReference"/>
        </w:rPr>
        <w:footnoteRef/>
      </w:r>
      <w:r>
        <w:t xml:space="preserve"> </w:t>
      </w:r>
      <w:r w:rsidR="001F1474" w:rsidRPr="001F1474">
        <w:t>Моля, имайте предвид, че влизането в сила, първоначално предвидено за 1 януари 2021 г., беше отложено за 1 юли 2021 г. след приемането на Решение (ЕС) 2020/1109 на Съвета от 20 юли 2020 г.</w:t>
      </w:r>
    </w:p>
  </w:footnote>
  <w:footnote w:id="21">
    <w:p w:rsidR="00612024" w:rsidRDefault="00612024" w:rsidP="00612024">
      <w:pPr>
        <w:pStyle w:val="footnotedescription"/>
        <w:spacing w:line="245" w:lineRule="auto"/>
        <w:ind w:left="358" w:hanging="358"/>
        <w:jc w:val="both"/>
      </w:pPr>
      <w:r>
        <w:rPr>
          <w:rStyle w:val="FootnoteReference"/>
        </w:rPr>
        <w:footnoteRef/>
      </w:r>
      <w:r>
        <w:t xml:space="preserve"> </w:t>
      </w:r>
      <w:hyperlink r:id="rId30" w:history="1">
        <w:r w:rsidRPr="000262AD">
          <w:rPr>
            <w:rStyle w:val="Hyperlink"/>
          </w:rPr>
          <w:t>https://ec.europa.eu/taxation_customs/business/vat/modernising-vat-cross-border-ecommerce_en</w:t>
        </w:r>
      </w:hyperlink>
      <w:r>
        <w:t xml:space="preserve"> </w:t>
      </w:r>
    </w:p>
  </w:footnote>
  <w:footnote w:id="22">
    <w:p w:rsidR="00612024" w:rsidRDefault="00612024" w:rsidP="00612024">
      <w:pPr>
        <w:pStyle w:val="footnotedescription"/>
        <w:spacing w:line="245" w:lineRule="auto"/>
        <w:ind w:left="358" w:hanging="358"/>
        <w:jc w:val="both"/>
      </w:pPr>
      <w:r>
        <w:rPr>
          <w:rStyle w:val="FootnoteReference"/>
        </w:rPr>
        <w:footnoteRef/>
      </w:r>
      <w:r>
        <w:t xml:space="preserve"> </w:t>
      </w:r>
      <w:hyperlink r:id="rId31" w:history="1">
        <w:r w:rsidRPr="000262AD">
          <w:rPr>
            <w:rStyle w:val="Hyperlink"/>
          </w:rPr>
          <w:t>https://ec.europa.eu/taxation_customs/business/vat/modernising-vat-cross-border-ecommerce_en</w:t>
        </w:r>
      </w:hyperlink>
      <w:r>
        <w:t xml:space="preserve"> </w:t>
      </w:r>
    </w:p>
  </w:footnote>
  <w:footnote w:id="23">
    <w:p w:rsidR="00CE6923" w:rsidRDefault="00CE6923">
      <w:pPr>
        <w:pStyle w:val="footnotedescription"/>
        <w:spacing w:line="245" w:lineRule="auto"/>
        <w:ind w:left="358" w:hanging="358"/>
        <w:jc w:val="both"/>
      </w:pPr>
      <w:r>
        <w:rPr>
          <w:rStyle w:val="footnotemark"/>
        </w:rPr>
        <w:footnoteRef/>
      </w:r>
      <w:r>
        <w:t xml:space="preserve"> Повече информация: </w:t>
      </w:r>
      <w:hyperlink r:id="rId32">
        <w:r>
          <w:rPr>
            <w:color w:val="0000FF"/>
            <w:u w:val="single" w:color="0000FF"/>
          </w:rPr>
          <w:t>https://ec.europa.eu/taxation_customs/business/vat/eu</w:t>
        </w:r>
      </w:hyperlink>
      <w:hyperlink r:id="rId33">
        <w:r>
          <w:rPr>
            <w:color w:val="0000FF"/>
            <w:u w:val="single" w:color="0000FF"/>
          </w:rPr>
          <w:t>-</w:t>
        </w:r>
      </w:hyperlink>
      <w:hyperlink r:id="rId34">
        <w:r>
          <w:rPr>
            <w:color w:val="0000FF"/>
            <w:u w:val="single" w:color="0000FF"/>
          </w:rPr>
          <w:t>vat</w:t>
        </w:r>
      </w:hyperlink>
      <w:hyperlink r:id="rId35">
        <w:r>
          <w:rPr>
            <w:color w:val="0000FF"/>
            <w:u w:val="single" w:color="0000FF"/>
          </w:rPr>
          <w:t>-</w:t>
        </w:r>
      </w:hyperlink>
      <w:hyperlink r:id="rId36">
        <w:r>
          <w:rPr>
            <w:color w:val="0000FF"/>
            <w:u w:val="single" w:color="0000FF"/>
          </w:rPr>
          <w:t>rules</w:t>
        </w:r>
      </w:hyperlink>
      <w:hyperlink r:id="rId37">
        <w:r>
          <w:rPr>
            <w:color w:val="0000FF"/>
            <w:u w:val="single" w:color="0000FF"/>
          </w:rPr>
          <w:t>-</w:t>
        </w:r>
      </w:hyperlink>
      <w:hyperlink r:id="rId38">
        <w:r>
          <w:rPr>
            <w:color w:val="0000FF"/>
            <w:u w:val="single" w:color="0000FF"/>
          </w:rPr>
          <w:t>topic/vat</w:t>
        </w:r>
      </w:hyperlink>
      <w:hyperlink r:id="rId39"/>
      <w:hyperlink r:id="rId40">
        <w:r>
          <w:rPr>
            <w:color w:val="0000FF"/>
            <w:u w:val="single" w:color="0000FF"/>
          </w:rPr>
          <w:t>refunds_en</w:t>
        </w:r>
      </w:hyperlink>
      <w:hyperlink r:id="rId41">
        <w:r>
          <w:t xml:space="preserve"> </w:t>
        </w:r>
      </w:hyperlink>
    </w:p>
  </w:footnote>
  <w:footnote w:id="24">
    <w:p w:rsidR="00CE6923" w:rsidRDefault="00CE6923">
      <w:pPr>
        <w:pStyle w:val="footnotedescription"/>
        <w:spacing w:after="0"/>
      </w:pPr>
      <w:r>
        <w:rPr>
          <w:rStyle w:val="footnotemark"/>
        </w:rPr>
        <w:footnoteRef/>
      </w:r>
      <w:r>
        <w:t xml:space="preserve"> ОВ бр. 326, 21.11.1986, стр. 40. </w:t>
      </w:r>
    </w:p>
  </w:footnote>
  <w:footnote w:id="25">
    <w:p w:rsidR="00CE6923" w:rsidRDefault="00CE6923">
      <w:pPr>
        <w:pStyle w:val="footnotedescription"/>
        <w:spacing w:after="229"/>
      </w:pPr>
      <w:r>
        <w:rPr>
          <w:rStyle w:val="footnotemark"/>
        </w:rPr>
        <w:footnoteRef/>
      </w:r>
      <w:r>
        <w:t xml:space="preserve"> Виж по-долу, част Б на това известие. </w:t>
      </w:r>
    </w:p>
  </w:footnote>
  <w:footnote w:id="26">
    <w:p w:rsidR="00CE6923" w:rsidRDefault="00CE6923">
      <w:pPr>
        <w:pStyle w:val="footnotedescription"/>
        <w:spacing w:after="0"/>
      </w:pPr>
      <w:r>
        <w:rPr>
          <w:rStyle w:val="footnotemark"/>
        </w:rPr>
        <w:footnoteRef/>
      </w:r>
      <w:r>
        <w:t xml:space="preserve"> Член 14 на Директива 2008/9/EО.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2EF" w:rsidRPr="007C22EF" w:rsidRDefault="007C22EF">
    <w:pPr>
      <w:pStyle w:val="Header"/>
      <w:rPr>
        <w:i/>
      </w:rPr>
    </w:pPr>
    <w:r w:rsidRPr="007C22EF">
      <w:rPr>
        <w:i/>
      </w:rPr>
      <w:t>Превод от английски език</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81053"/>
    <w:multiLevelType w:val="hybridMultilevel"/>
    <w:tmpl w:val="E5C8E7CC"/>
    <w:lvl w:ilvl="0" w:tplc="08E6C02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946619C">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7841AE6">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B22141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EADF98">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62C5C64">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422BDA">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A98E89E">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CCEFF44">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28794A"/>
    <w:multiLevelType w:val="hybridMultilevel"/>
    <w:tmpl w:val="DB2E1770"/>
    <w:lvl w:ilvl="0" w:tplc="60FC02B0">
      <w:start w:val="1"/>
      <w:numFmt w:val="bullet"/>
      <w:lvlText w:val="•"/>
      <w:lvlJc w:val="left"/>
      <w:pPr>
        <w:ind w:left="8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404FCC">
      <w:start w:val="1"/>
      <w:numFmt w:val="bullet"/>
      <w:lvlText w:val="o"/>
      <w:lvlJc w:val="left"/>
      <w:pPr>
        <w:ind w:left="15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F6CDF0">
      <w:start w:val="1"/>
      <w:numFmt w:val="bullet"/>
      <w:lvlText w:val="▪"/>
      <w:lvlJc w:val="left"/>
      <w:pPr>
        <w:ind w:left="22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160CE9C">
      <w:start w:val="1"/>
      <w:numFmt w:val="bullet"/>
      <w:lvlText w:val="•"/>
      <w:lvlJc w:val="left"/>
      <w:pPr>
        <w:ind w:left="30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BFC591A">
      <w:start w:val="1"/>
      <w:numFmt w:val="bullet"/>
      <w:lvlText w:val="o"/>
      <w:lvlJc w:val="left"/>
      <w:pPr>
        <w:ind w:left="37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7841E06">
      <w:start w:val="1"/>
      <w:numFmt w:val="bullet"/>
      <w:lvlText w:val="▪"/>
      <w:lvlJc w:val="left"/>
      <w:pPr>
        <w:ind w:left="44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C242A22">
      <w:start w:val="1"/>
      <w:numFmt w:val="bullet"/>
      <w:lvlText w:val="•"/>
      <w:lvlJc w:val="left"/>
      <w:pPr>
        <w:ind w:left="51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70D3BE">
      <w:start w:val="1"/>
      <w:numFmt w:val="bullet"/>
      <w:lvlText w:val="o"/>
      <w:lvlJc w:val="left"/>
      <w:pPr>
        <w:ind w:left="58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0A47250">
      <w:start w:val="1"/>
      <w:numFmt w:val="bullet"/>
      <w:lvlText w:val="▪"/>
      <w:lvlJc w:val="left"/>
      <w:pPr>
        <w:ind w:left="66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076045"/>
    <w:multiLevelType w:val="hybridMultilevel"/>
    <w:tmpl w:val="1F1A802E"/>
    <w:lvl w:ilvl="0" w:tplc="E7BE0B14">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5AA09C">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4ACBC96">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99A1D8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CE0EE8">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CA8C75E">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16D40C">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67E549C">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7B44BB6">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F214EED"/>
    <w:multiLevelType w:val="hybridMultilevel"/>
    <w:tmpl w:val="19D4307A"/>
    <w:lvl w:ilvl="0" w:tplc="18F49852">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D078EE">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2C60696">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2621BF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CE462C">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140B620">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19EBE86">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85048F0">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DA34B8">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7233EDC"/>
    <w:multiLevelType w:val="hybridMultilevel"/>
    <w:tmpl w:val="9438983E"/>
    <w:lvl w:ilvl="0" w:tplc="E9EA52F6">
      <w:start w:val="1"/>
      <w:numFmt w:val="decimal"/>
      <w:lvlText w:val="%1."/>
      <w:lvlJc w:val="left"/>
      <w:pPr>
        <w:ind w:left="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D2A96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9C2A7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FCA8C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6243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78212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58215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44256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D0A0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9BF7B44"/>
    <w:multiLevelType w:val="hybridMultilevel"/>
    <w:tmpl w:val="3CF049F8"/>
    <w:lvl w:ilvl="0" w:tplc="23EEE358">
      <w:start w:val="1"/>
      <w:numFmt w:val="bullet"/>
      <w:lvlText w:val="-"/>
      <w:lvlJc w:val="left"/>
      <w:pPr>
        <w:ind w:left="345" w:hanging="360"/>
      </w:pPr>
      <w:rPr>
        <w:rFonts w:ascii="Times New Roman" w:eastAsia="Times New Roman" w:hAnsi="Times New Roman" w:cs="Times New Roman" w:hint="default"/>
      </w:rPr>
    </w:lvl>
    <w:lvl w:ilvl="1" w:tplc="04020003" w:tentative="1">
      <w:start w:val="1"/>
      <w:numFmt w:val="bullet"/>
      <w:lvlText w:val="o"/>
      <w:lvlJc w:val="left"/>
      <w:pPr>
        <w:ind w:left="1065" w:hanging="360"/>
      </w:pPr>
      <w:rPr>
        <w:rFonts w:ascii="Courier New" w:hAnsi="Courier New" w:cs="Courier New" w:hint="default"/>
      </w:rPr>
    </w:lvl>
    <w:lvl w:ilvl="2" w:tplc="04020005" w:tentative="1">
      <w:start w:val="1"/>
      <w:numFmt w:val="bullet"/>
      <w:lvlText w:val=""/>
      <w:lvlJc w:val="left"/>
      <w:pPr>
        <w:ind w:left="1785" w:hanging="360"/>
      </w:pPr>
      <w:rPr>
        <w:rFonts w:ascii="Wingdings" w:hAnsi="Wingdings" w:hint="default"/>
      </w:rPr>
    </w:lvl>
    <w:lvl w:ilvl="3" w:tplc="04020001" w:tentative="1">
      <w:start w:val="1"/>
      <w:numFmt w:val="bullet"/>
      <w:lvlText w:val=""/>
      <w:lvlJc w:val="left"/>
      <w:pPr>
        <w:ind w:left="2505" w:hanging="360"/>
      </w:pPr>
      <w:rPr>
        <w:rFonts w:ascii="Symbol" w:hAnsi="Symbol" w:hint="default"/>
      </w:rPr>
    </w:lvl>
    <w:lvl w:ilvl="4" w:tplc="04020003" w:tentative="1">
      <w:start w:val="1"/>
      <w:numFmt w:val="bullet"/>
      <w:lvlText w:val="o"/>
      <w:lvlJc w:val="left"/>
      <w:pPr>
        <w:ind w:left="3225" w:hanging="360"/>
      </w:pPr>
      <w:rPr>
        <w:rFonts w:ascii="Courier New" w:hAnsi="Courier New" w:cs="Courier New" w:hint="default"/>
      </w:rPr>
    </w:lvl>
    <w:lvl w:ilvl="5" w:tplc="04020005" w:tentative="1">
      <w:start w:val="1"/>
      <w:numFmt w:val="bullet"/>
      <w:lvlText w:val=""/>
      <w:lvlJc w:val="left"/>
      <w:pPr>
        <w:ind w:left="3945" w:hanging="360"/>
      </w:pPr>
      <w:rPr>
        <w:rFonts w:ascii="Wingdings" w:hAnsi="Wingdings" w:hint="default"/>
      </w:rPr>
    </w:lvl>
    <w:lvl w:ilvl="6" w:tplc="04020001" w:tentative="1">
      <w:start w:val="1"/>
      <w:numFmt w:val="bullet"/>
      <w:lvlText w:val=""/>
      <w:lvlJc w:val="left"/>
      <w:pPr>
        <w:ind w:left="4665" w:hanging="360"/>
      </w:pPr>
      <w:rPr>
        <w:rFonts w:ascii="Symbol" w:hAnsi="Symbol" w:hint="default"/>
      </w:rPr>
    </w:lvl>
    <w:lvl w:ilvl="7" w:tplc="04020003" w:tentative="1">
      <w:start w:val="1"/>
      <w:numFmt w:val="bullet"/>
      <w:lvlText w:val="o"/>
      <w:lvlJc w:val="left"/>
      <w:pPr>
        <w:ind w:left="5385" w:hanging="360"/>
      </w:pPr>
      <w:rPr>
        <w:rFonts w:ascii="Courier New" w:hAnsi="Courier New" w:cs="Courier New" w:hint="default"/>
      </w:rPr>
    </w:lvl>
    <w:lvl w:ilvl="8" w:tplc="04020005" w:tentative="1">
      <w:start w:val="1"/>
      <w:numFmt w:val="bullet"/>
      <w:lvlText w:val=""/>
      <w:lvlJc w:val="left"/>
      <w:pPr>
        <w:ind w:left="6105" w:hanging="360"/>
      </w:pPr>
      <w:rPr>
        <w:rFonts w:ascii="Wingdings" w:hAnsi="Wingdings" w:hint="default"/>
      </w:rPr>
    </w:lvl>
  </w:abstractNum>
  <w:abstractNum w:abstractNumId="6" w15:restartNumberingAfterBreak="0">
    <w:nsid w:val="4FFF28D7"/>
    <w:multiLevelType w:val="multilevel"/>
    <w:tmpl w:val="1458E65A"/>
    <w:lvl w:ilvl="0">
      <w:start w:val="1"/>
      <w:numFmt w:val="decimal"/>
      <w:lvlText w:val="%1."/>
      <w:lvlJc w:val="left"/>
      <w:pPr>
        <w:ind w:left="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4BD2918"/>
    <w:multiLevelType w:val="multilevel"/>
    <w:tmpl w:val="6BE0E11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8" w15:restartNumberingAfterBreak="0">
    <w:nsid w:val="55637DBE"/>
    <w:multiLevelType w:val="hybridMultilevel"/>
    <w:tmpl w:val="7EC25876"/>
    <w:lvl w:ilvl="0" w:tplc="35B25408">
      <w:start w:val="1"/>
      <w:numFmt w:val="decimal"/>
      <w:lvlText w:val="%1."/>
      <w:lvlJc w:val="left"/>
      <w:pPr>
        <w:ind w:left="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54810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8438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A4A8C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44EC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36F7F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E6F61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4C10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A678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9A43A95"/>
    <w:multiLevelType w:val="hybridMultilevel"/>
    <w:tmpl w:val="5100C310"/>
    <w:lvl w:ilvl="0" w:tplc="C18A6E58">
      <w:start w:val="1"/>
      <w:numFmt w:val="bullet"/>
      <w:lvlText w:val="•"/>
      <w:lvlJc w:val="left"/>
      <w:pPr>
        <w:ind w:left="11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C6033C">
      <w:start w:val="1"/>
      <w:numFmt w:val="bullet"/>
      <w:lvlText w:val="o"/>
      <w:lvlJc w:val="left"/>
      <w:pPr>
        <w:ind w:left="18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1DE83FA">
      <w:start w:val="1"/>
      <w:numFmt w:val="bullet"/>
      <w:lvlText w:val="▪"/>
      <w:lvlJc w:val="left"/>
      <w:pPr>
        <w:ind w:left="25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4E0F0EC">
      <w:start w:val="1"/>
      <w:numFmt w:val="bullet"/>
      <w:lvlText w:val="•"/>
      <w:lvlJc w:val="left"/>
      <w:pPr>
        <w:ind w:left="3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343514">
      <w:start w:val="1"/>
      <w:numFmt w:val="bullet"/>
      <w:lvlText w:val="o"/>
      <w:lvlJc w:val="left"/>
      <w:pPr>
        <w:ind w:left="40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5742BCA">
      <w:start w:val="1"/>
      <w:numFmt w:val="bullet"/>
      <w:lvlText w:val="▪"/>
      <w:lvlJc w:val="left"/>
      <w:pPr>
        <w:ind w:left="47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B24370C">
      <w:start w:val="1"/>
      <w:numFmt w:val="bullet"/>
      <w:lvlText w:val="•"/>
      <w:lvlJc w:val="left"/>
      <w:pPr>
        <w:ind w:left="54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38A494">
      <w:start w:val="1"/>
      <w:numFmt w:val="bullet"/>
      <w:lvlText w:val="o"/>
      <w:lvlJc w:val="left"/>
      <w:pPr>
        <w:ind w:left="61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E6C330E">
      <w:start w:val="1"/>
      <w:numFmt w:val="bullet"/>
      <w:lvlText w:val="▪"/>
      <w:lvlJc w:val="left"/>
      <w:pPr>
        <w:ind w:left="68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0BA036D"/>
    <w:multiLevelType w:val="hybridMultilevel"/>
    <w:tmpl w:val="291A4FF6"/>
    <w:lvl w:ilvl="0" w:tplc="2582342A">
      <w:start w:val="5"/>
      <w:numFmt w:val="decimal"/>
      <w:lvlText w:val="%1"/>
      <w:lvlJc w:val="left"/>
      <w:pPr>
        <w:ind w:left="3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1" w:tplc="93A8338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2" w:tplc="ADDA05E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3" w:tplc="7CBE03F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4" w:tplc="A1C8EAE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5" w:tplc="45BE1CB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6" w:tplc="0600AEC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7" w:tplc="AE488F4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8" w:tplc="3E8E2F4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abstractNum>
  <w:abstractNum w:abstractNumId="11" w15:restartNumberingAfterBreak="0">
    <w:nsid w:val="64E7394C"/>
    <w:multiLevelType w:val="hybridMultilevel"/>
    <w:tmpl w:val="C99ABCE8"/>
    <w:lvl w:ilvl="0" w:tplc="89282306">
      <w:start w:val="1"/>
      <w:numFmt w:val="bullet"/>
      <w:lvlText w:val="•"/>
      <w:lvlJc w:val="left"/>
      <w:pPr>
        <w:ind w:left="8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A6690C">
      <w:start w:val="1"/>
      <w:numFmt w:val="bullet"/>
      <w:lvlText w:val="o"/>
      <w:lvlJc w:val="left"/>
      <w:pPr>
        <w:ind w:left="15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0283D06">
      <w:start w:val="1"/>
      <w:numFmt w:val="bullet"/>
      <w:lvlText w:val="▪"/>
      <w:lvlJc w:val="left"/>
      <w:pPr>
        <w:ind w:left="22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40BCAC">
      <w:start w:val="1"/>
      <w:numFmt w:val="bullet"/>
      <w:lvlText w:val="•"/>
      <w:lvlJc w:val="left"/>
      <w:pPr>
        <w:ind w:left="30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B231E2">
      <w:start w:val="1"/>
      <w:numFmt w:val="bullet"/>
      <w:lvlText w:val="o"/>
      <w:lvlJc w:val="left"/>
      <w:pPr>
        <w:ind w:left="37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AD29C9E">
      <w:start w:val="1"/>
      <w:numFmt w:val="bullet"/>
      <w:lvlText w:val="▪"/>
      <w:lvlJc w:val="left"/>
      <w:pPr>
        <w:ind w:left="44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AA4A80A">
      <w:start w:val="1"/>
      <w:numFmt w:val="bullet"/>
      <w:lvlText w:val="•"/>
      <w:lvlJc w:val="left"/>
      <w:pPr>
        <w:ind w:left="51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CD0C2AE">
      <w:start w:val="1"/>
      <w:numFmt w:val="bullet"/>
      <w:lvlText w:val="o"/>
      <w:lvlJc w:val="left"/>
      <w:pPr>
        <w:ind w:left="58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7AC0E44">
      <w:start w:val="1"/>
      <w:numFmt w:val="bullet"/>
      <w:lvlText w:val="▪"/>
      <w:lvlJc w:val="left"/>
      <w:pPr>
        <w:ind w:left="66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4A36838"/>
    <w:multiLevelType w:val="multilevel"/>
    <w:tmpl w:val="4BA0A4C8"/>
    <w:lvl w:ilvl="0">
      <w:start w:val="1"/>
      <w:numFmt w:val="decimal"/>
      <w:lvlText w:val="%1."/>
      <w:lvlJc w:val="left"/>
      <w:pPr>
        <w:ind w:left="345" w:hanging="360"/>
      </w:pPr>
      <w:rPr>
        <w:rFonts w:hint="default"/>
        <w:sz w:val="24"/>
      </w:rPr>
    </w:lvl>
    <w:lvl w:ilvl="1">
      <w:start w:val="2"/>
      <w:numFmt w:val="decimal"/>
      <w:isLgl/>
      <w:lvlText w:val="%1.%2"/>
      <w:lvlJc w:val="left"/>
      <w:pPr>
        <w:ind w:left="786" w:hanging="36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720"/>
      </w:pPr>
      <w:rPr>
        <w:rFonts w:hint="default"/>
      </w:rPr>
    </w:lvl>
    <w:lvl w:ilvl="4">
      <w:start w:val="1"/>
      <w:numFmt w:val="decimal"/>
      <w:isLgl/>
      <w:lvlText w:val="%1.%2.%3.%4.%5"/>
      <w:lvlJc w:val="left"/>
      <w:pPr>
        <w:ind w:left="2505" w:hanging="1080"/>
      </w:pPr>
      <w:rPr>
        <w:rFonts w:hint="default"/>
      </w:rPr>
    </w:lvl>
    <w:lvl w:ilvl="5">
      <w:start w:val="1"/>
      <w:numFmt w:val="decimal"/>
      <w:isLgl/>
      <w:lvlText w:val="%1.%2.%3.%4.%5.%6"/>
      <w:lvlJc w:val="left"/>
      <w:pPr>
        <w:ind w:left="2865" w:hanging="1080"/>
      </w:pPr>
      <w:rPr>
        <w:rFonts w:hint="default"/>
      </w:rPr>
    </w:lvl>
    <w:lvl w:ilvl="6">
      <w:start w:val="1"/>
      <w:numFmt w:val="decimal"/>
      <w:isLgl/>
      <w:lvlText w:val="%1.%2.%3.%4.%5.%6.%7"/>
      <w:lvlJc w:val="left"/>
      <w:pPr>
        <w:ind w:left="3585" w:hanging="1440"/>
      </w:pPr>
      <w:rPr>
        <w:rFonts w:hint="default"/>
      </w:rPr>
    </w:lvl>
    <w:lvl w:ilvl="7">
      <w:start w:val="1"/>
      <w:numFmt w:val="decimal"/>
      <w:isLgl/>
      <w:lvlText w:val="%1.%2.%3.%4.%5.%6.%7.%8"/>
      <w:lvlJc w:val="left"/>
      <w:pPr>
        <w:ind w:left="3945" w:hanging="1440"/>
      </w:pPr>
      <w:rPr>
        <w:rFonts w:hint="default"/>
      </w:rPr>
    </w:lvl>
    <w:lvl w:ilvl="8">
      <w:start w:val="1"/>
      <w:numFmt w:val="decimal"/>
      <w:isLgl/>
      <w:lvlText w:val="%1.%2.%3.%4.%5.%6.%7.%8.%9"/>
      <w:lvlJc w:val="left"/>
      <w:pPr>
        <w:ind w:left="4665" w:hanging="1800"/>
      </w:pPr>
      <w:rPr>
        <w:rFonts w:hint="default"/>
      </w:rPr>
    </w:lvl>
  </w:abstractNum>
  <w:abstractNum w:abstractNumId="13" w15:restartNumberingAfterBreak="0">
    <w:nsid w:val="755504F1"/>
    <w:multiLevelType w:val="hybridMultilevel"/>
    <w:tmpl w:val="9440C0FA"/>
    <w:lvl w:ilvl="0" w:tplc="DD9AE27C">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B45D38">
      <w:start w:val="1"/>
      <w:numFmt w:val="bullet"/>
      <w:lvlText w:val="o"/>
      <w:lvlJc w:val="left"/>
      <w:pPr>
        <w:ind w:left="11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6C2A18">
      <w:start w:val="1"/>
      <w:numFmt w:val="bullet"/>
      <w:lvlText w:val="▪"/>
      <w:lvlJc w:val="left"/>
      <w:pPr>
        <w:ind w:left="19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503F0E">
      <w:start w:val="1"/>
      <w:numFmt w:val="bullet"/>
      <w:lvlText w:val="•"/>
      <w:lvlJc w:val="left"/>
      <w:pPr>
        <w:ind w:left="26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86538C">
      <w:start w:val="1"/>
      <w:numFmt w:val="bullet"/>
      <w:lvlText w:val="o"/>
      <w:lvlJc w:val="left"/>
      <w:pPr>
        <w:ind w:left="33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5C6D12">
      <w:start w:val="1"/>
      <w:numFmt w:val="bullet"/>
      <w:lvlText w:val="▪"/>
      <w:lvlJc w:val="left"/>
      <w:pPr>
        <w:ind w:left="40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26DC5A">
      <w:start w:val="1"/>
      <w:numFmt w:val="bullet"/>
      <w:lvlText w:val="•"/>
      <w:lvlJc w:val="left"/>
      <w:pPr>
        <w:ind w:left="47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46FFDE">
      <w:start w:val="1"/>
      <w:numFmt w:val="bullet"/>
      <w:lvlText w:val="o"/>
      <w:lvlJc w:val="left"/>
      <w:pPr>
        <w:ind w:left="55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E0B4E2">
      <w:start w:val="1"/>
      <w:numFmt w:val="bullet"/>
      <w:lvlText w:val="▪"/>
      <w:lvlJc w:val="left"/>
      <w:pPr>
        <w:ind w:left="62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4"/>
  </w:num>
  <w:num w:numId="3">
    <w:abstractNumId w:val="6"/>
  </w:num>
  <w:num w:numId="4">
    <w:abstractNumId w:val="10"/>
  </w:num>
  <w:num w:numId="5">
    <w:abstractNumId w:val="1"/>
  </w:num>
  <w:num w:numId="6">
    <w:abstractNumId w:val="11"/>
  </w:num>
  <w:num w:numId="7">
    <w:abstractNumId w:val="9"/>
  </w:num>
  <w:num w:numId="8">
    <w:abstractNumId w:val="2"/>
  </w:num>
  <w:num w:numId="9">
    <w:abstractNumId w:val="0"/>
  </w:num>
  <w:num w:numId="10">
    <w:abstractNumId w:val="3"/>
  </w:num>
  <w:num w:numId="11">
    <w:abstractNumId w:val="13"/>
  </w:num>
  <w:num w:numId="12">
    <w:abstractNumId w:val="7"/>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98E"/>
    <w:rsid w:val="0001118F"/>
    <w:rsid w:val="00017209"/>
    <w:rsid w:val="0002023D"/>
    <w:rsid w:val="0005783E"/>
    <w:rsid w:val="00065B2B"/>
    <w:rsid w:val="00073A73"/>
    <w:rsid w:val="00084F86"/>
    <w:rsid w:val="000B1265"/>
    <w:rsid w:val="000B33AF"/>
    <w:rsid w:val="000C4EFB"/>
    <w:rsid w:val="000D5607"/>
    <w:rsid w:val="00101BA1"/>
    <w:rsid w:val="001042E4"/>
    <w:rsid w:val="00115876"/>
    <w:rsid w:val="00131DE4"/>
    <w:rsid w:val="0013253E"/>
    <w:rsid w:val="00133BE3"/>
    <w:rsid w:val="00136C7D"/>
    <w:rsid w:val="00141A77"/>
    <w:rsid w:val="00144240"/>
    <w:rsid w:val="00172A91"/>
    <w:rsid w:val="00186266"/>
    <w:rsid w:val="001E5B7B"/>
    <w:rsid w:val="001F1474"/>
    <w:rsid w:val="0021495A"/>
    <w:rsid w:val="00215F16"/>
    <w:rsid w:val="00235034"/>
    <w:rsid w:val="002656B3"/>
    <w:rsid w:val="00274D96"/>
    <w:rsid w:val="00277D14"/>
    <w:rsid w:val="00286E9A"/>
    <w:rsid w:val="002976E0"/>
    <w:rsid w:val="002A30C9"/>
    <w:rsid w:val="002B6D35"/>
    <w:rsid w:val="002F4D25"/>
    <w:rsid w:val="0031245E"/>
    <w:rsid w:val="00323799"/>
    <w:rsid w:val="00324264"/>
    <w:rsid w:val="00342431"/>
    <w:rsid w:val="00362F40"/>
    <w:rsid w:val="00375902"/>
    <w:rsid w:val="00391244"/>
    <w:rsid w:val="00392B4E"/>
    <w:rsid w:val="003B4EF6"/>
    <w:rsid w:val="003E1038"/>
    <w:rsid w:val="003E3703"/>
    <w:rsid w:val="00427563"/>
    <w:rsid w:val="00440BBE"/>
    <w:rsid w:val="00475506"/>
    <w:rsid w:val="00495493"/>
    <w:rsid w:val="004C36C8"/>
    <w:rsid w:val="00511904"/>
    <w:rsid w:val="00516BD3"/>
    <w:rsid w:val="00544AA0"/>
    <w:rsid w:val="005C22B0"/>
    <w:rsid w:val="005C44A4"/>
    <w:rsid w:val="005F7624"/>
    <w:rsid w:val="00600C58"/>
    <w:rsid w:val="00610DF8"/>
    <w:rsid w:val="00612024"/>
    <w:rsid w:val="00637D0A"/>
    <w:rsid w:val="00666249"/>
    <w:rsid w:val="00670CB0"/>
    <w:rsid w:val="0067629D"/>
    <w:rsid w:val="00682792"/>
    <w:rsid w:val="006A0F4E"/>
    <w:rsid w:val="006B7806"/>
    <w:rsid w:val="006E4381"/>
    <w:rsid w:val="006E451C"/>
    <w:rsid w:val="006E5EB0"/>
    <w:rsid w:val="00703BD7"/>
    <w:rsid w:val="0071214D"/>
    <w:rsid w:val="00744887"/>
    <w:rsid w:val="00747D89"/>
    <w:rsid w:val="00767672"/>
    <w:rsid w:val="00794D74"/>
    <w:rsid w:val="007B328E"/>
    <w:rsid w:val="007C22EF"/>
    <w:rsid w:val="007C6B5B"/>
    <w:rsid w:val="008155CE"/>
    <w:rsid w:val="00820365"/>
    <w:rsid w:val="00824649"/>
    <w:rsid w:val="00832478"/>
    <w:rsid w:val="008325DD"/>
    <w:rsid w:val="008363C7"/>
    <w:rsid w:val="0085097D"/>
    <w:rsid w:val="00856809"/>
    <w:rsid w:val="008576EF"/>
    <w:rsid w:val="0087377C"/>
    <w:rsid w:val="00883796"/>
    <w:rsid w:val="00894906"/>
    <w:rsid w:val="008D127C"/>
    <w:rsid w:val="008D144A"/>
    <w:rsid w:val="008E65F8"/>
    <w:rsid w:val="008F4BF3"/>
    <w:rsid w:val="0095528E"/>
    <w:rsid w:val="009623EF"/>
    <w:rsid w:val="00970C35"/>
    <w:rsid w:val="0097396E"/>
    <w:rsid w:val="00992F76"/>
    <w:rsid w:val="009B6715"/>
    <w:rsid w:val="009C6B5B"/>
    <w:rsid w:val="009D0DED"/>
    <w:rsid w:val="00A07FAD"/>
    <w:rsid w:val="00A237E3"/>
    <w:rsid w:val="00A32AD2"/>
    <w:rsid w:val="00A75D6E"/>
    <w:rsid w:val="00A9554D"/>
    <w:rsid w:val="00AB1013"/>
    <w:rsid w:val="00AE697F"/>
    <w:rsid w:val="00AF05CD"/>
    <w:rsid w:val="00AF086F"/>
    <w:rsid w:val="00B01413"/>
    <w:rsid w:val="00B15DFE"/>
    <w:rsid w:val="00B32DB2"/>
    <w:rsid w:val="00B43BB6"/>
    <w:rsid w:val="00B6066A"/>
    <w:rsid w:val="00B71718"/>
    <w:rsid w:val="00B81420"/>
    <w:rsid w:val="00BC7653"/>
    <w:rsid w:val="00BD058B"/>
    <w:rsid w:val="00C1358E"/>
    <w:rsid w:val="00C25C10"/>
    <w:rsid w:val="00C63172"/>
    <w:rsid w:val="00C878AA"/>
    <w:rsid w:val="00C90F35"/>
    <w:rsid w:val="00C9554D"/>
    <w:rsid w:val="00CA0CEA"/>
    <w:rsid w:val="00CA505B"/>
    <w:rsid w:val="00CB672B"/>
    <w:rsid w:val="00CC1951"/>
    <w:rsid w:val="00CC2CE6"/>
    <w:rsid w:val="00CE6923"/>
    <w:rsid w:val="00CF398E"/>
    <w:rsid w:val="00D23636"/>
    <w:rsid w:val="00D306F5"/>
    <w:rsid w:val="00D35936"/>
    <w:rsid w:val="00D376FC"/>
    <w:rsid w:val="00D45761"/>
    <w:rsid w:val="00D576A6"/>
    <w:rsid w:val="00D613A4"/>
    <w:rsid w:val="00D82A29"/>
    <w:rsid w:val="00D858ED"/>
    <w:rsid w:val="00D91CCA"/>
    <w:rsid w:val="00DB0550"/>
    <w:rsid w:val="00DB0A1F"/>
    <w:rsid w:val="00DB4A7F"/>
    <w:rsid w:val="00DC0CBE"/>
    <w:rsid w:val="00DD7F0D"/>
    <w:rsid w:val="00E054BA"/>
    <w:rsid w:val="00E20C38"/>
    <w:rsid w:val="00E4305A"/>
    <w:rsid w:val="00E624A3"/>
    <w:rsid w:val="00E72F6A"/>
    <w:rsid w:val="00E74598"/>
    <w:rsid w:val="00E830B2"/>
    <w:rsid w:val="00E85FDF"/>
    <w:rsid w:val="00E87B20"/>
    <w:rsid w:val="00E92815"/>
    <w:rsid w:val="00E94B02"/>
    <w:rsid w:val="00EB3FA1"/>
    <w:rsid w:val="00EC37A4"/>
    <w:rsid w:val="00EE3704"/>
    <w:rsid w:val="00F20FE9"/>
    <w:rsid w:val="00F341C4"/>
    <w:rsid w:val="00F71BA4"/>
    <w:rsid w:val="00F913CA"/>
    <w:rsid w:val="00F97B86"/>
    <w:rsid w:val="00FA245A"/>
    <w:rsid w:val="00FB4E1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0F7B19-4EDE-4744-8815-A4C1D83D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4" w:line="247" w:lineRule="auto"/>
      <w:ind w:left="511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9" w:line="265" w:lineRule="auto"/>
      <w:ind w:left="10" w:right="22" w:hanging="10"/>
      <w:jc w:val="both"/>
      <w:outlineLvl w:val="0"/>
    </w:pPr>
    <w:rPr>
      <w:rFonts w:ascii="Times New Roman" w:eastAsia="Times New Roman" w:hAnsi="Times New Roman" w:cs="Times New Roman"/>
      <w:b/>
      <w:color w:val="000000"/>
      <w:sz w:val="19"/>
    </w:rPr>
  </w:style>
  <w:style w:type="paragraph" w:styleId="Heading2">
    <w:name w:val="heading 2"/>
    <w:next w:val="Normal"/>
    <w:link w:val="Heading2Char"/>
    <w:uiPriority w:val="9"/>
    <w:unhideWhenUsed/>
    <w:qFormat/>
    <w:pPr>
      <w:keepNext/>
      <w:keepLines/>
      <w:spacing w:after="223" w:line="249" w:lineRule="auto"/>
      <w:ind w:left="610" w:right="22" w:hanging="610"/>
      <w:jc w:val="both"/>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233" w:line="249" w:lineRule="auto"/>
      <w:ind w:left="10" w:right="94" w:hanging="10"/>
      <w:outlineLvl w:val="2"/>
    </w:pPr>
    <w:rPr>
      <w:rFonts w:ascii="Times New Roman" w:eastAsia="Times New Roman" w:hAnsi="Times New Roman" w:cs="Times New Roman"/>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i/>
      <w:color w:val="000000"/>
      <w:sz w:val="24"/>
    </w:rPr>
  </w:style>
  <w:style w:type="paragraph" w:customStyle="1" w:styleId="footnotedescription">
    <w:name w:val="footnote description"/>
    <w:next w:val="Normal"/>
    <w:link w:val="footnotedescriptionChar"/>
    <w:hidden/>
    <w:pPr>
      <w:spacing w:after="228"/>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rPr>
      <w:rFonts w:ascii="Times New Roman" w:eastAsia="Times New Roman" w:hAnsi="Times New Roman" w:cs="Times New Roman"/>
      <w:b/>
      <w:color w:val="000000"/>
      <w:sz w:val="19"/>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8363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63C7"/>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8363C7"/>
    <w:rPr>
      <w:vertAlign w:val="superscript"/>
    </w:rPr>
  </w:style>
  <w:style w:type="paragraph" w:styleId="ListParagraph">
    <w:name w:val="List Paragraph"/>
    <w:basedOn w:val="Normal"/>
    <w:uiPriority w:val="34"/>
    <w:qFormat/>
    <w:rsid w:val="00AF086F"/>
    <w:pPr>
      <w:ind w:left="720"/>
      <w:contextualSpacing/>
    </w:pPr>
  </w:style>
  <w:style w:type="paragraph" w:styleId="Header">
    <w:name w:val="header"/>
    <w:basedOn w:val="Normal"/>
    <w:link w:val="HeaderChar"/>
    <w:uiPriority w:val="99"/>
    <w:unhideWhenUsed/>
    <w:rsid w:val="007C22EF"/>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22EF"/>
    <w:rPr>
      <w:rFonts w:ascii="Times New Roman" w:eastAsia="Times New Roman" w:hAnsi="Times New Roman" w:cs="Times New Roman"/>
      <w:color w:val="000000"/>
      <w:sz w:val="24"/>
    </w:rPr>
  </w:style>
  <w:style w:type="paragraph" w:styleId="EndnoteText">
    <w:name w:val="endnote text"/>
    <w:basedOn w:val="Normal"/>
    <w:link w:val="EndnoteTextChar"/>
    <w:uiPriority w:val="99"/>
    <w:semiHidden/>
    <w:unhideWhenUsed/>
    <w:rsid w:val="001042E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42E4"/>
    <w:rPr>
      <w:rFonts w:ascii="Times New Roman" w:eastAsia="Times New Roman" w:hAnsi="Times New Roman" w:cs="Times New Roman"/>
      <w:color w:val="000000"/>
      <w:sz w:val="20"/>
      <w:szCs w:val="20"/>
    </w:rPr>
  </w:style>
  <w:style w:type="character" w:styleId="EndnoteReference">
    <w:name w:val="endnote reference"/>
    <w:basedOn w:val="DefaultParagraphFont"/>
    <w:uiPriority w:val="99"/>
    <w:semiHidden/>
    <w:unhideWhenUsed/>
    <w:rsid w:val="001042E4"/>
    <w:rPr>
      <w:vertAlign w:val="superscript"/>
    </w:rPr>
  </w:style>
  <w:style w:type="character" w:styleId="Hyperlink">
    <w:name w:val="Hyperlink"/>
    <w:basedOn w:val="DefaultParagraphFont"/>
    <w:uiPriority w:val="99"/>
    <w:unhideWhenUsed/>
    <w:rsid w:val="00AE69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c.europa.eu/taxation_customs/index_e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europa.eu/taxation_customs/index_e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c.europa.eu/taxation_customs/index_en" TargetMode="External"/><Relationship Id="rId4" Type="http://schemas.openxmlformats.org/officeDocument/2006/relationships/settings" Target="settings.xml"/><Relationship Id="rId9" Type="http://schemas.openxmlformats.org/officeDocument/2006/relationships/hyperlink" Target="https://ec.europa.eu/info/european-union-and-united-kingdom-forging-new-partnership/future-partnership/preparing-end-transition-period_en"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ec.europa.eu/info/european-union-and-united-kingdom-forging-new-partnership/future-partnership/preparing-end-transition-period_en" TargetMode="External"/><Relationship Id="rId13" Type="http://schemas.openxmlformats.org/officeDocument/2006/relationships/hyperlink" Target="https://ec.europa.eu/info/european-union-and-united-kingdom-forging-new-partnership/future-partnership/preparing-end-transition-period_en" TargetMode="External"/><Relationship Id="rId18" Type="http://schemas.openxmlformats.org/officeDocument/2006/relationships/hyperlink" Target="https://ec.europa.eu/info/european-union-and-united-kingdom-forging-new-partnership/future-partnership/preparing-end-transition-period_en" TargetMode="External"/><Relationship Id="rId26" Type="http://schemas.openxmlformats.org/officeDocument/2006/relationships/hyperlink" Target="https://ec.europa.eu/info/european-union-and-united-kingdom-forging-new-partnership/future-partnership/preparing-end-transition-period_en" TargetMode="External"/><Relationship Id="rId39" Type="http://schemas.openxmlformats.org/officeDocument/2006/relationships/hyperlink" Target="https://ec.europa.eu/taxation_customs/business/vat/eu-vat-rules-topic/vat-refunds_en" TargetMode="External"/><Relationship Id="rId3" Type="http://schemas.openxmlformats.org/officeDocument/2006/relationships/hyperlink" Target="https://ec.europa.eu/info/european-union-and-united-kingdom-forging-new-partnership/future-partnership/preparing-end-transition-period_en" TargetMode="External"/><Relationship Id="rId21" Type="http://schemas.openxmlformats.org/officeDocument/2006/relationships/hyperlink" Target="https://ec.europa.eu/info/european-union-and-united-kingdom-forging-new-partnership/future-partnership/preparing-end-transition-period_en" TargetMode="External"/><Relationship Id="rId34" Type="http://schemas.openxmlformats.org/officeDocument/2006/relationships/hyperlink" Target="https://ec.europa.eu/taxation_customs/business/vat/eu-vat-rules-topic/vat-refunds_en" TargetMode="External"/><Relationship Id="rId7" Type="http://schemas.openxmlformats.org/officeDocument/2006/relationships/hyperlink" Target="https://ec.europa.eu/info/european-union-and-united-kingdom-forging-new-partnership/future-partnership/preparing-end-transition-period_en" TargetMode="External"/><Relationship Id="rId12" Type="http://schemas.openxmlformats.org/officeDocument/2006/relationships/hyperlink" Target="https://ec.europa.eu/info/european-union-and-united-kingdom-forging-new-partnership/future-partnership/preparing-end-transition-period_en" TargetMode="External"/><Relationship Id="rId17" Type="http://schemas.openxmlformats.org/officeDocument/2006/relationships/hyperlink" Target="https://ec.europa.eu/info/european-union-and-united-kingdom-forging-new-partnership/future-partnership/preparing-end-transition-period_en" TargetMode="External"/><Relationship Id="rId25" Type="http://schemas.openxmlformats.org/officeDocument/2006/relationships/hyperlink" Target="https://ec.europa.eu/info/european-union-and-united-kingdom-forging-new-partnership/future-partnership/preparing-end-transition-period_en" TargetMode="External"/><Relationship Id="rId33" Type="http://schemas.openxmlformats.org/officeDocument/2006/relationships/hyperlink" Target="https://ec.europa.eu/taxation_customs/business/vat/eu-vat-rules-topic/vat-refunds_en" TargetMode="External"/><Relationship Id="rId38" Type="http://schemas.openxmlformats.org/officeDocument/2006/relationships/hyperlink" Target="https://ec.europa.eu/taxation_customs/business/vat/eu-vat-rules-topic/vat-refunds_en" TargetMode="External"/><Relationship Id="rId2" Type="http://schemas.openxmlformats.org/officeDocument/2006/relationships/hyperlink" Target="https://ec.europa.eu/info/european-union-and-united-kingdom-forging-new-partnership/future-partnership/preparing-end-transition-period_en" TargetMode="External"/><Relationship Id="rId16" Type="http://schemas.openxmlformats.org/officeDocument/2006/relationships/hyperlink" Target="https://ec.europa.eu/info/european-union-and-united-kingdom-forging-new-partnership/future-partnership/preparing-end-transition-period_en" TargetMode="External"/><Relationship Id="rId20" Type="http://schemas.openxmlformats.org/officeDocument/2006/relationships/hyperlink" Target="https://ec.europa.eu/info/european-union-and-united-kingdom-forging-new-partnership/future-partnership/preparing-end-transition-period_en" TargetMode="External"/><Relationship Id="rId29" Type="http://schemas.openxmlformats.org/officeDocument/2006/relationships/hyperlink" Target="https://ec.europa.eu/taxation_customs/business/vat_en" TargetMode="External"/><Relationship Id="rId41" Type="http://schemas.openxmlformats.org/officeDocument/2006/relationships/hyperlink" Target="https://ec.europa.eu/taxation_customs/business/vat/eu-vat-rules-topic/vat-refunds_en" TargetMode="External"/><Relationship Id="rId1" Type="http://schemas.openxmlformats.org/officeDocument/2006/relationships/hyperlink" Target="https://ec.europa.eu/taxation_customs/business/vat/telecommunications-broadcasting-electronic-services/" TargetMode="External"/><Relationship Id="rId6" Type="http://schemas.openxmlformats.org/officeDocument/2006/relationships/hyperlink" Target="https://ec.europa.eu/info/european-union-and-united-kingdom-forging-new-partnership/future-partnership/preparing-end-transition-period_en" TargetMode="External"/><Relationship Id="rId11" Type="http://schemas.openxmlformats.org/officeDocument/2006/relationships/hyperlink" Target="https://ec.europa.eu/info/european-union-and-united-kingdom-forging-new-partnership/future-partnership/preparing-end-transition-period_en" TargetMode="External"/><Relationship Id="rId24" Type="http://schemas.openxmlformats.org/officeDocument/2006/relationships/hyperlink" Target="https://ec.europa.eu/info/european-union-and-united-kingdom-forging-new-partnership/future-partnership/preparing-end-transition-period_en" TargetMode="External"/><Relationship Id="rId32" Type="http://schemas.openxmlformats.org/officeDocument/2006/relationships/hyperlink" Target="https://ec.europa.eu/taxation_customs/business/vat/eu-vat-rules-topic/vat-refunds_en" TargetMode="External"/><Relationship Id="rId37" Type="http://schemas.openxmlformats.org/officeDocument/2006/relationships/hyperlink" Target="https://ec.europa.eu/taxation_customs/business/vat/eu-vat-rules-topic/vat-refunds_en" TargetMode="External"/><Relationship Id="rId40" Type="http://schemas.openxmlformats.org/officeDocument/2006/relationships/hyperlink" Target="https://ec.europa.eu/taxation_customs/business/vat/eu-vat-rules-topic/vat-refunds_en" TargetMode="External"/><Relationship Id="rId5" Type="http://schemas.openxmlformats.org/officeDocument/2006/relationships/hyperlink" Target="https://ec.europa.eu/info/european-union-and-united-kingdom-forging-new-partnership/future-partnership/preparing-end-transition-period_en" TargetMode="External"/><Relationship Id="rId15" Type="http://schemas.openxmlformats.org/officeDocument/2006/relationships/hyperlink" Target="https://ec.europa.eu/info/european-union-and-united-kingdom-forging-new-partnership/future-partnership/preparing-end-transition-period_en" TargetMode="External"/><Relationship Id="rId23" Type="http://schemas.openxmlformats.org/officeDocument/2006/relationships/hyperlink" Target="https://ec.europa.eu/info/european-union-and-united-kingdom-forging-new-partnership/future-partnership/preparing-end-transition-period_en" TargetMode="External"/><Relationship Id="rId28" Type="http://schemas.openxmlformats.org/officeDocument/2006/relationships/hyperlink" Target="https://ec.europa.eu/taxation_customs/business/vat_en" TargetMode="External"/><Relationship Id="rId36" Type="http://schemas.openxmlformats.org/officeDocument/2006/relationships/hyperlink" Target="https://ec.europa.eu/taxation_customs/business/vat/eu-vat-rules-topic/vat-refunds_en" TargetMode="External"/><Relationship Id="rId10" Type="http://schemas.openxmlformats.org/officeDocument/2006/relationships/hyperlink" Target="https://ec.europa.eu/info/european-union-and-united-kingdom-forging-new-partnership/future-partnership/preparing-end-transition-period_en" TargetMode="External"/><Relationship Id="rId19" Type="http://schemas.openxmlformats.org/officeDocument/2006/relationships/hyperlink" Target="https://ec.europa.eu/info/european-union-and-united-kingdom-forging-new-partnership/future-partnership/preparing-end-transition-period_en" TargetMode="External"/><Relationship Id="rId31" Type="http://schemas.openxmlformats.org/officeDocument/2006/relationships/hyperlink" Target="https://ec.europa.eu/taxation_customs/business/vat/modernising-vat-cross-border-ecommerce_en" TargetMode="External"/><Relationship Id="rId4" Type="http://schemas.openxmlformats.org/officeDocument/2006/relationships/hyperlink" Target="https://ec.europa.eu/info/european-union-and-united-kingdom-forging-new-partnership/future-partnership/preparing-end-transition-period_en" TargetMode="External"/><Relationship Id="rId9" Type="http://schemas.openxmlformats.org/officeDocument/2006/relationships/hyperlink" Target="https://ec.europa.eu/info/european-union-and-united-kingdom-forging-new-partnership/future-partnership/preparing-end-transition-period_en" TargetMode="External"/><Relationship Id="rId14" Type="http://schemas.openxmlformats.org/officeDocument/2006/relationships/hyperlink" Target="https://ec.europa.eu/info/european-union-and-united-kingdom-forging-new-partnership/future-partnership/preparing-end-transition-period_en" TargetMode="External"/><Relationship Id="rId22" Type="http://schemas.openxmlformats.org/officeDocument/2006/relationships/hyperlink" Target="https://ec.europa.eu/info/european-union-and-united-kingdom-forging-new-partnership/future-partnership/preparing-end-transition-period_en" TargetMode="External"/><Relationship Id="rId27" Type="http://schemas.openxmlformats.org/officeDocument/2006/relationships/hyperlink" Target="https://ec.europa.eu/taxation_customs/business/vat/modernising-vat-cross-border-ecommerce_en" TargetMode="External"/><Relationship Id="rId30" Type="http://schemas.openxmlformats.org/officeDocument/2006/relationships/hyperlink" Target="https://ec.europa.eu/taxation_customs/business/vat/modernising-vat-cross-border-ecommerce_en" TargetMode="External"/><Relationship Id="rId35" Type="http://schemas.openxmlformats.org/officeDocument/2006/relationships/hyperlink" Target="https://ec.europa.eu/taxation_customs/business/vat/eu-vat-rules-topic/vat-refunds_en"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45FFB-DC0A-41C0-89AE-BEBF45DBC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2545</Words>
  <Characters>14512</Characters>
  <Application>Microsoft Office Word</Application>
  <DocSecurity>0</DocSecurity>
  <Lines>120</Lines>
  <Paragraphs>34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Потребител на Windows</dc:creator>
  <cp:keywords/>
  <cp:lastModifiedBy>АННА ИВАНОВА МИТОВА</cp:lastModifiedBy>
  <cp:revision>1</cp:revision>
  <dcterms:created xsi:type="dcterms:W3CDTF">2021-01-08T15:27:00Z</dcterms:created>
  <dcterms:modified xsi:type="dcterms:W3CDTF">2021-01-08T15:27:00Z</dcterms:modified>
</cp:coreProperties>
</file>