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40" w:type="dxa"/>
        <w:tblInd w:w="-885"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1E0" w:firstRow="1" w:lastRow="1" w:firstColumn="1" w:lastColumn="1" w:noHBand="0" w:noVBand="0"/>
      </w:tblPr>
      <w:tblGrid>
        <w:gridCol w:w="8046"/>
        <w:gridCol w:w="269"/>
        <w:gridCol w:w="269"/>
        <w:gridCol w:w="135"/>
        <w:gridCol w:w="135"/>
        <w:gridCol w:w="269"/>
        <w:gridCol w:w="270"/>
        <w:gridCol w:w="269"/>
        <w:gridCol w:w="269"/>
        <w:gridCol w:w="135"/>
        <w:gridCol w:w="135"/>
        <w:gridCol w:w="269"/>
        <w:gridCol w:w="270"/>
      </w:tblGrid>
      <w:tr w:rsidR="005571B0" w:rsidRPr="005571B0" w:rsidTr="00922B9F">
        <w:trPr>
          <w:trHeight w:val="507"/>
        </w:trPr>
        <w:tc>
          <w:tcPr>
            <w:tcW w:w="8046" w:type="dxa"/>
            <w:vMerge w:val="restart"/>
            <w:shd w:val="clear" w:color="auto" w:fill="auto"/>
            <w:vAlign w:val="center"/>
          </w:tcPr>
          <w:p w:rsidR="00922B9F" w:rsidRPr="005571B0" w:rsidRDefault="00922B9F" w:rsidP="00EB598F">
            <w:pPr>
              <w:keepNext/>
              <w:ind w:right="15"/>
              <w:jc w:val="right"/>
              <w:rPr>
                <w:rFonts w:ascii="Arial" w:hAnsi="Arial" w:cs="Arial"/>
                <w:b/>
                <w:sz w:val="20"/>
                <w:szCs w:val="20"/>
                <w:lang w:val="bg-BG"/>
              </w:rPr>
            </w:pPr>
            <w:bookmarkStart w:id="0" w:name="_GoBack"/>
            <w:bookmarkEnd w:id="0"/>
            <w:r w:rsidRPr="005571B0">
              <w:rPr>
                <w:rFonts w:ascii="Arial" w:hAnsi="Arial" w:cs="Arial"/>
                <w:b/>
                <w:sz w:val="20"/>
                <w:szCs w:val="20"/>
                <w:lang w:val="bg-BG"/>
              </w:rPr>
              <w:t>Образец 2030</w:t>
            </w:r>
          </w:p>
          <w:p w:rsidR="00922B9F" w:rsidRPr="005571B0" w:rsidRDefault="00922B9F" w:rsidP="00EB598F">
            <w:pPr>
              <w:ind w:left="-109" w:right="-107"/>
              <w:jc w:val="center"/>
              <w:rPr>
                <w:rFonts w:ascii="Arial" w:hAnsi="Arial" w:cs="Arial"/>
                <w:b/>
                <w:sz w:val="48"/>
                <w:szCs w:val="48"/>
                <w:lang w:val="bg-BG"/>
              </w:rPr>
            </w:pPr>
            <w:r w:rsidRPr="005571B0">
              <w:rPr>
                <w:rFonts w:ascii="Arial" w:hAnsi="Arial" w:cs="Arial"/>
                <w:b/>
                <w:sz w:val="48"/>
                <w:szCs w:val="48"/>
                <w:lang w:val="bg-BG"/>
              </w:rPr>
              <w:t>Приложение № 12</w:t>
            </w:r>
          </w:p>
          <w:p w:rsidR="00922B9F" w:rsidRPr="005571B0" w:rsidRDefault="00922B9F" w:rsidP="00EB598F">
            <w:pPr>
              <w:keepNext/>
              <w:jc w:val="center"/>
              <w:rPr>
                <w:rFonts w:ascii="Arial" w:hAnsi="Arial" w:cs="Arial"/>
                <w:i/>
                <w:sz w:val="18"/>
                <w:szCs w:val="18"/>
                <w:lang w:val="ru-RU"/>
              </w:rPr>
            </w:pPr>
            <w:r w:rsidRPr="005571B0">
              <w:rPr>
                <w:rFonts w:ascii="Arial" w:hAnsi="Arial" w:cs="Arial"/>
                <w:b/>
                <w:sz w:val="28"/>
                <w:szCs w:val="28"/>
                <w:lang w:val="bg-BG"/>
              </w:rPr>
              <w:t>преизчисляване на окончателния данък за доходи по чл. 37 от ЗДДФЛ на чуждестранни физически лица</w:t>
            </w:r>
          </w:p>
          <w:p w:rsidR="00922B9F" w:rsidRPr="005571B0" w:rsidRDefault="00922B9F" w:rsidP="00EB598F">
            <w:pPr>
              <w:keepNext/>
              <w:jc w:val="center"/>
              <w:rPr>
                <w:rFonts w:ascii="Arial" w:hAnsi="Arial" w:cs="Arial"/>
                <w:i/>
                <w:sz w:val="20"/>
                <w:szCs w:val="20"/>
                <w:lang w:val="bg-BG"/>
              </w:rPr>
            </w:pPr>
            <w:r w:rsidRPr="005571B0">
              <w:rPr>
                <w:rFonts w:ascii="Arial" w:hAnsi="Arial" w:cs="Arial"/>
                <w:i/>
                <w:sz w:val="18"/>
                <w:szCs w:val="18"/>
                <w:lang w:val="bg-BG"/>
              </w:rPr>
              <w:t xml:space="preserve"> (Приложението е неразделна част от годишната данъчна декларация по чл. 50 от ЗДДФЛ и се подава заедно с образец 2001)</w:t>
            </w:r>
          </w:p>
        </w:tc>
        <w:tc>
          <w:tcPr>
            <w:tcW w:w="2694" w:type="dxa"/>
            <w:gridSpan w:val="12"/>
            <w:shd w:val="clear" w:color="auto" w:fill="D9D9D9"/>
            <w:vAlign w:val="center"/>
          </w:tcPr>
          <w:p w:rsidR="00011438" w:rsidRPr="005571B0" w:rsidRDefault="004B3AF1" w:rsidP="004B3AF1">
            <w:pPr>
              <w:ind w:right="71"/>
              <w:jc w:val="center"/>
              <w:rPr>
                <w:rFonts w:ascii="Arial" w:hAnsi="Arial" w:cs="Arial"/>
                <w:b/>
                <w:lang w:val="bg-BG"/>
              </w:rPr>
            </w:pPr>
            <w:r w:rsidRPr="005571B0">
              <w:rPr>
                <w:rFonts w:ascii="Arial" w:hAnsi="Arial" w:cs="Arial"/>
                <w:b/>
                <w:lang w:val="bg-BG"/>
              </w:rPr>
              <w:t>ЕГН/</w:t>
            </w:r>
            <w:r w:rsidR="00011438" w:rsidRPr="005571B0">
              <w:rPr>
                <w:rFonts w:ascii="Arial" w:hAnsi="Arial" w:cs="Arial"/>
                <w:b/>
                <w:lang w:val="bg-BG"/>
              </w:rPr>
              <w:t>ЛН/</w:t>
            </w:r>
            <w:r w:rsidR="00922B9F" w:rsidRPr="005571B0">
              <w:rPr>
                <w:rFonts w:ascii="Arial" w:hAnsi="Arial" w:cs="Arial"/>
                <w:b/>
                <w:lang w:val="bg-BG"/>
              </w:rPr>
              <w:t>ЛНЧ/</w:t>
            </w:r>
          </w:p>
          <w:p w:rsidR="00922B9F" w:rsidRPr="005571B0" w:rsidRDefault="00922B9F" w:rsidP="004B3AF1">
            <w:pPr>
              <w:ind w:right="71"/>
              <w:jc w:val="center"/>
              <w:rPr>
                <w:rFonts w:ascii="Arial" w:hAnsi="Arial" w:cs="Arial"/>
                <w:b/>
                <w:lang w:val="bg-BG"/>
              </w:rPr>
            </w:pPr>
            <w:r w:rsidRPr="005571B0">
              <w:rPr>
                <w:rFonts w:ascii="Arial" w:hAnsi="Arial" w:cs="Arial"/>
                <w:b/>
                <w:lang w:val="bg-BG"/>
              </w:rPr>
              <w:t xml:space="preserve">служебен номер </w:t>
            </w:r>
          </w:p>
        </w:tc>
      </w:tr>
      <w:tr w:rsidR="005571B0" w:rsidRPr="005571B0" w:rsidTr="00922B9F">
        <w:trPr>
          <w:trHeight w:val="271"/>
        </w:trPr>
        <w:tc>
          <w:tcPr>
            <w:tcW w:w="8046" w:type="dxa"/>
            <w:vMerge/>
            <w:shd w:val="clear" w:color="auto" w:fill="auto"/>
            <w:vAlign w:val="center"/>
          </w:tcPr>
          <w:p w:rsidR="00922B9F" w:rsidRPr="005571B0" w:rsidRDefault="00922B9F" w:rsidP="00EB598F">
            <w:pPr>
              <w:keepNext/>
              <w:ind w:right="-107"/>
              <w:jc w:val="right"/>
              <w:rPr>
                <w:rFonts w:ascii="Arial" w:hAnsi="Arial" w:cs="Arial"/>
                <w:b/>
                <w:sz w:val="20"/>
                <w:szCs w:val="20"/>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gridSpan w:val="2"/>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gridSpan w:val="2"/>
            <w:shd w:val="clear" w:color="auto" w:fill="auto"/>
            <w:vAlign w:val="center"/>
          </w:tcPr>
          <w:p w:rsidR="00922B9F" w:rsidRPr="005571B0" w:rsidRDefault="00922B9F" w:rsidP="00EB598F">
            <w:pPr>
              <w:rPr>
                <w:rFonts w:ascii="Arial" w:hAnsi="Arial" w:cs="Arial"/>
                <w:lang w:val="bg-BG"/>
              </w:rPr>
            </w:pPr>
          </w:p>
        </w:tc>
        <w:tc>
          <w:tcPr>
            <w:tcW w:w="269" w:type="dxa"/>
            <w:shd w:val="clear" w:color="auto" w:fill="auto"/>
            <w:vAlign w:val="center"/>
          </w:tcPr>
          <w:p w:rsidR="00922B9F" w:rsidRPr="005571B0" w:rsidRDefault="00922B9F" w:rsidP="00EB598F">
            <w:pPr>
              <w:rPr>
                <w:rFonts w:ascii="Arial" w:hAnsi="Arial" w:cs="Arial"/>
                <w:lang w:val="bg-BG"/>
              </w:rPr>
            </w:pPr>
          </w:p>
        </w:tc>
        <w:tc>
          <w:tcPr>
            <w:tcW w:w="270" w:type="dxa"/>
            <w:shd w:val="clear" w:color="auto" w:fill="auto"/>
            <w:vAlign w:val="center"/>
          </w:tcPr>
          <w:p w:rsidR="00922B9F" w:rsidRPr="005571B0" w:rsidRDefault="00922B9F" w:rsidP="00EB598F">
            <w:pPr>
              <w:rPr>
                <w:rFonts w:ascii="Arial" w:hAnsi="Arial" w:cs="Arial"/>
                <w:lang w:val="bg-BG"/>
              </w:rPr>
            </w:pPr>
          </w:p>
        </w:tc>
      </w:tr>
      <w:tr w:rsidR="005571B0" w:rsidRPr="005571B0" w:rsidTr="00922B9F">
        <w:trPr>
          <w:trHeight w:val="416"/>
        </w:trPr>
        <w:tc>
          <w:tcPr>
            <w:tcW w:w="8046" w:type="dxa"/>
            <w:vMerge/>
            <w:shd w:val="clear" w:color="auto" w:fill="auto"/>
            <w:vAlign w:val="center"/>
          </w:tcPr>
          <w:p w:rsidR="00922B9F" w:rsidRPr="005571B0" w:rsidRDefault="00922B9F" w:rsidP="00EB598F">
            <w:pPr>
              <w:keepNext/>
              <w:ind w:right="-107"/>
              <w:jc w:val="right"/>
              <w:rPr>
                <w:rFonts w:ascii="Arial" w:hAnsi="Arial" w:cs="Arial"/>
                <w:b/>
                <w:sz w:val="20"/>
                <w:szCs w:val="20"/>
                <w:lang w:val="bg-BG"/>
              </w:rPr>
            </w:pPr>
          </w:p>
        </w:tc>
        <w:tc>
          <w:tcPr>
            <w:tcW w:w="2694" w:type="dxa"/>
            <w:gridSpan w:val="12"/>
            <w:shd w:val="clear" w:color="auto" w:fill="D9D9D9"/>
            <w:vAlign w:val="center"/>
          </w:tcPr>
          <w:p w:rsidR="00922B9F" w:rsidRPr="005571B0" w:rsidRDefault="00922B9F" w:rsidP="00EB598F">
            <w:pPr>
              <w:ind w:left="175" w:right="176"/>
              <w:jc w:val="center"/>
              <w:rPr>
                <w:rFonts w:ascii="Arial" w:hAnsi="Arial" w:cs="Arial"/>
                <w:b/>
                <w:lang w:val="bg-BG"/>
              </w:rPr>
            </w:pPr>
            <w:r w:rsidRPr="005571B0">
              <w:rPr>
                <w:rFonts w:ascii="Arial" w:hAnsi="Arial" w:cs="Arial"/>
                <w:b/>
                <w:lang w:val="bg-BG"/>
              </w:rPr>
              <w:t>Данъчна година</w:t>
            </w:r>
          </w:p>
        </w:tc>
      </w:tr>
      <w:tr w:rsidR="005571B0" w:rsidRPr="005571B0" w:rsidTr="00922B9F">
        <w:trPr>
          <w:trHeight w:val="335"/>
        </w:trPr>
        <w:tc>
          <w:tcPr>
            <w:tcW w:w="8046" w:type="dxa"/>
            <w:vMerge/>
            <w:shd w:val="clear" w:color="auto" w:fill="auto"/>
            <w:vAlign w:val="center"/>
          </w:tcPr>
          <w:p w:rsidR="00922B9F" w:rsidRPr="005571B0" w:rsidRDefault="00922B9F" w:rsidP="00EB598F">
            <w:pPr>
              <w:keepNext/>
              <w:ind w:right="-107"/>
              <w:jc w:val="right"/>
              <w:rPr>
                <w:rFonts w:ascii="Arial" w:hAnsi="Arial" w:cs="Arial"/>
                <w:b/>
                <w:sz w:val="20"/>
                <w:szCs w:val="20"/>
                <w:lang w:val="bg-BG"/>
              </w:rPr>
            </w:pPr>
          </w:p>
        </w:tc>
        <w:tc>
          <w:tcPr>
            <w:tcW w:w="673" w:type="dxa"/>
            <w:gridSpan w:val="3"/>
            <w:shd w:val="clear" w:color="auto" w:fill="auto"/>
            <w:vAlign w:val="center"/>
          </w:tcPr>
          <w:p w:rsidR="00922B9F" w:rsidRPr="005571B0" w:rsidRDefault="00922B9F" w:rsidP="00EB598F">
            <w:pPr>
              <w:ind w:left="252"/>
              <w:rPr>
                <w:rFonts w:ascii="Arial" w:hAnsi="Arial" w:cs="Arial"/>
                <w:lang w:val="bg-BG"/>
              </w:rPr>
            </w:pPr>
          </w:p>
        </w:tc>
        <w:tc>
          <w:tcPr>
            <w:tcW w:w="674" w:type="dxa"/>
            <w:gridSpan w:val="3"/>
            <w:shd w:val="clear" w:color="auto" w:fill="auto"/>
            <w:vAlign w:val="center"/>
          </w:tcPr>
          <w:p w:rsidR="00922B9F" w:rsidRPr="005571B0" w:rsidRDefault="00922B9F" w:rsidP="00EB598F">
            <w:pPr>
              <w:ind w:left="252"/>
              <w:rPr>
                <w:rFonts w:ascii="Arial" w:hAnsi="Arial" w:cs="Arial"/>
                <w:lang w:val="bg-BG"/>
              </w:rPr>
            </w:pPr>
          </w:p>
        </w:tc>
        <w:tc>
          <w:tcPr>
            <w:tcW w:w="673" w:type="dxa"/>
            <w:gridSpan w:val="3"/>
            <w:shd w:val="clear" w:color="auto" w:fill="auto"/>
            <w:vAlign w:val="center"/>
          </w:tcPr>
          <w:p w:rsidR="00922B9F" w:rsidRPr="005571B0" w:rsidRDefault="00922B9F" w:rsidP="00EB598F">
            <w:pPr>
              <w:ind w:left="252"/>
              <w:rPr>
                <w:rFonts w:ascii="Arial" w:hAnsi="Arial" w:cs="Arial"/>
                <w:lang w:val="bg-BG"/>
              </w:rPr>
            </w:pPr>
          </w:p>
        </w:tc>
        <w:tc>
          <w:tcPr>
            <w:tcW w:w="674" w:type="dxa"/>
            <w:gridSpan w:val="3"/>
            <w:shd w:val="clear" w:color="auto" w:fill="auto"/>
            <w:vAlign w:val="center"/>
          </w:tcPr>
          <w:p w:rsidR="00922B9F" w:rsidRPr="005571B0" w:rsidRDefault="00922B9F" w:rsidP="00EB598F">
            <w:pPr>
              <w:ind w:left="252"/>
              <w:rPr>
                <w:rFonts w:ascii="Arial" w:hAnsi="Arial" w:cs="Arial"/>
                <w:lang w:val="bg-BG"/>
              </w:rPr>
            </w:pPr>
          </w:p>
        </w:tc>
      </w:tr>
    </w:tbl>
    <w:p w:rsidR="00E92FF2" w:rsidRPr="005571B0" w:rsidRDefault="00E92FF2" w:rsidP="005E2F95">
      <w:pPr>
        <w:rPr>
          <w:rFonts w:ascii="Arial" w:hAnsi="Arial" w:cs="Arial"/>
          <w:b/>
        </w:rPr>
      </w:pPr>
    </w:p>
    <w:p w:rsidR="00E92FF2" w:rsidRPr="005571B0" w:rsidRDefault="00E92FF2" w:rsidP="00E92FF2">
      <w:pPr>
        <w:keepNext/>
        <w:ind w:left="-993" w:right="-709"/>
        <w:jc w:val="both"/>
        <w:rPr>
          <w:rFonts w:ascii="Arial" w:hAnsi="Arial" w:cs="Arial"/>
          <w:i/>
          <w:lang w:val="ru-RU"/>
        </w:rPr>
      </w:pPr>
      <w:r w:rsidRPr="005571B0">
        <w:rPr>
          <w:rFonts w:ascii="Arial" w:hAnsi="Arial" w:cs="Arial"/>
          <w:b/>
          <w:lang w:val="bg-BG"/>
        </w:rPr>
        <w:t>Част І - Преизчисляване на окончателния данък за доходи по чл. 37 от ЗДДФЛ като данък върху общата годишна данъчна основа</w:t>
      </w:r>
      <w:r w:rsidRPr="005571B0">
        <w:rPr>
          <w:rFonts w:ascii="Arial" w:hAnsi="Arial" w:cs="Arial"/>
          <w:i/>
          <w:lang w:val="bg-BG"/>
        </w:rPr>
        <w:t xml:space="preserve"> </w:t>
      </w:r>
    </w:p>
    <w:tbl>
      <w:tblPr>
        <w:tblStyle w:val="TableGrid"/>
        <w:tblW w:w="10774"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426"/>
        <w:gridCol w:w="618"/>
        <w:gridCol w:w="1831"/>
        <w:gridCol w:w="1549"/>
        <w:gridCol w:w="1693"/>
        <w:gridCol w:w="1553"/>
        <w:gridCol w:w="1692"/>
        <w:gridCol w:w="1412"/>
      </w:tblGrid>
      <w:tr w:rsidR="005571B0" w:rsidRPr="005571B0" w:rsidTr="001F5ECC">
        <w:tc>
          <w:tcPr>
            <w:tcW w:w="426"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8"/>
                <w:szCs w:val="18"/>
                <w:lang w:val="bg-BG"/>
              </w:rPr>
            </w:pPr>
            <w:r w:rsidRPr="005571B0">
              <w:rPr>
                <w:rFonts w:ascii="Arial" w:hAnsi="Arial" w:cs="Arial"/>
                <w:b/>
                <w:sz w:val="18"/>
                <w:szCs w:val="18"/>
                <w:lang w:val="bg-BG"/>
              </w:rPr>
              <w:t xml:space="preserve">№ </w:t>
            </w:r>
          </w:p>
        </w:tc>
        <w:tc>
          <w:tcPr>
            <w:tcW w:w="56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20"/>
                <w:szCs w:val="20"/>
                <w:lang w:val="bg-BG" w:eastAsia="bg-BG"/>
              </w:rPr>
            </w:pPr>
          </w:p>
          <w:p w:rsidR="001F5ECC" w:rsidRPr="005571B0" w:rsidRDefault="001F5ECC" w:rsidP="00042288">
            <w:pPr>
              <w:ind w:left="-108" w:right="-108"/>
              <w:jc w:val="center"/>
              <w:rPr>
                <w:rFonts w:ascii="Arial" w:hAnsi="Arial" w:cs="Arial"/>
                <w:sz w:val="18"/>
                <w:szCs w:val="18"/>
                <w:lang w:val="bg-BG" w:eastAsia="bg-BG"/>
              </w:rPr>
            </w:pPr>
            <w:r w:rsidRPr="005571B0">
              <w:rPr>
                <w:rFonts w:ascii="Arial" w:hAnsi="Arial" w:cs="Arial"/>
                <w:b/>
                <w:sz w:val="18"/>
                <w:szCs w:val="18"/>
                <w:lang w:val="bg-BG" w:eastAsia="bg-BG"/>
              </w:rPr>
              <w:t>Код</w:t>
            </w:r>
          </w:p>
          <w:p w:rsidR="001F5ECC" w:rsidRPr="005571B0" w:rsidRDefault="001F5ECC" w:rsidP="00042288">
            <w:pPr>
              <w:jc w:val="center"/>
              <w:rPr>
                <w:rFonts w:ascii="Arial" w:hAnsi="Arial" w:cs="Arial"/>
                <w:b/>
                <w:i/>
                <w:sz w:val="20"/>
                <w:szCs w:val="20"/>
                <w:lang w:val="bg-BG"/>
              </w:rPr>
            </w:pPr>
          </w:p>
        </w:tc>
        <w:tc>
          <w:tcPr>
            <w:tcW w:w="1843"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Размер на придобития доход по чл. 37 от ЗДДФЛ  </w:t>
            </w:r>
          </w:p>
        </w:tc>
        <w:tc>
          <w:tcPr>
            <w:tcW w:w="1559"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Внесен данък  за доходите по чл. 37 от ЗДДФЛ</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 xml:space="preserve">Преизчислен данък за доходите по </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чл. 37 от ЗДДФЛ</w:t>
            </w:r>
          </w:p>
        </w:tc>
        <w:tc>
          <w:tcPr>
            <w:tcW w:w="1560"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може да бъде приспаднат в  съответната държава</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не може да бъде приспаднат в съответната държава</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(р. 5, к. 4 – р. 5, к. 6)</w:t>
            </w:r>
          </w:p>
        </w:tc>
        <w:tc>
          <w:tcPr>
            <w:tcW w:w="141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w:t>
            </w:r>
            <w:r w:rsidR="00F0313F" w:rsidRPr="005571B0">
              <w:rPr>
                <w:rFonts w:ascii="Arial" w:hAnsi="Arial" w:cs="Arial"/>
                <w:b/>
                <w:sz w:val="16"/>
                <w:szCs w:val="16"/>
                <w:lang w:val="bg-BG"/>
              </w:rPr>
              <w:t>,</w:t>
            </w:r>
            <w:r w:rsidRPr="005571B0">
              <w:rPr>
                <w:rFonts w:ascii="Arial" w:hAnsi="Arial" w:cs="Arial"/>
                <w:b/>
                <w:sz w:val="16"/>
                <w:szCs w:val="16"/>
                <w:lang w:val="bg-BG"/>
              </w:rPr>
              <w:t xml:space="preserve"> подлежащ на приспадане по чл. 37а от ЗДДФЛ</w:t>
            </w:r>
          </w:p>
          <w:p w:rsidR="001F5ECC" w:rsidRPr="005571B0" w:rsidRDefault="001F5ECC" w:rsidP="00042288">
            <w:pPr>
              <w:ind w:left="-108" w:right="-108"/>
              <w:jc w:val="center"/>
              <w:rPr>
                <w:rFonts w:ascii="Arial" w:hAnsi="Arial" w:cs="Arial"/>
                <w:b/>
                <w:sz w:val="14"/>
                <w:szCs w:val="14"/>
                <w:lang w:val="bg-BG"/>
              </w:rPr>
            </w:pPr>
            <w:r w:rsidRPr="005571B0">
              <w:rPr>
                <w:rFonts w:ascii="Arial" w:hAnsi="Arial" w:cs="Arial"/>
                <w:b/>
                <w:sz w:val="14"/>
                <w:szCs w:val="14"/>
                <w:lang w:val="bg-BG"/>
              </w:rPr>
              <w:t>(р. 5, к. 5 + р. 5, к. 7)</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 р. 5, к. 4</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1</w:t>
            </w:r>
          </w:p>
        </w:tc>
        <w:tc>
          <w:tcPr>
            <w:tcW w:w="56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2</w:t>
            </w:r>
          </w:p>
        </w:tc>
        <w:tc>
          <w:tcPr>
            <w:tcW w:w="1843"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3</w:t>
            </w:r>
          </w:p>
        </w:tc>
        <w:tc>
          <w:tcPr>
            <w:tcW w:w="1559"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4</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b/>
                <w:sz w:val="16"/>
                <w:szCs w:val="16"/>
                <w:lang w:val="bg-BG"/>
              </w:rPr>
            </w:pPr>
            <w:r w:rsidRPr="005571B0">
              <w:rPr>
                <w:rFonts w:ascii="Arial" w:hAnsi="Arial" w:cs="Arial"/>
                <w:b/>
                <w:sz w:val="16"/>
                <w:szCs w:val="16"/>
                <w:lang w:val="bg-BG"/>
              </w:rPr>
              <w:t>5</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6</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7</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8</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1</w:t>
            </w:r>
          </w:p>
        </w:tc>
        <w:tc>
          <w:tcPr>
            <w:tcW w:w="567"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tcBorders>
              <w:top w:val="single" w:sz="6" w:space="0" w:color="auto"/>
            </w:tcBorders>
            <w:vAlign w:val="center"/>
          </w:tcPr>
          <w:p w:rsidR="001F5ECC" w:rsidRPr="005571B0" w:rsidRDefault="001F5ECC" w:rsidP="00042288">
            <w:pPr>
              <w:ind w:left="-108"/>
              <w:jc w:val="center"/>
              <w:rPr>
                <w:rFonts w:ascii="Arial" w:hAnsi="Arial" w:cs="Arial"/>
                <w:sz w:val="18"/>
                <w:szCs w:val="18"/>
              </w:rPr>
            </w:pPr>
          </w:p>
        </w:tc>
        <w:tc>
          <w:tcPr>
            <w:tcW w:w="1559"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2</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1F5ECC">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3</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C604D1">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4</w:t>
            </w:r>
          </w:p>
        </w:tc>
        <w:tc>
          <w:tcPr>
            <w:tcW w:w="567" w:type="dxa"/>
            <w:tcBorders>
              <w:bottom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C604D1">
        <w:tc>
          <w:tcPr>
            <w:tcW w:w="426"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80" w:right="-108"/>
              <w:rPr>
                <w:rFonts w:ascii="Arial" w:hAnsi="Arial" w:cs="Arial"/>
                <w:sz w:val="16"/>
                <w:szCs w:val="16"/>
                <w:lang w:val="bg-BG"/>
              </w:rPr>
            </w:pPr>
            <w:r w:rsidRPr="005571B0">
              <w:rPr>
                <w:rFonts w:ascii="Arial" w:hAnsi="Arial" w:cs="Arial"/>
                <w:sz w:val="18"/>
                <w:szCs w:val="18"/>
                <w:lang w:val="bg-BG" w:eastAsia="bg-BG"/>
              </w:rPr>
              <w:t xml:space="preserve">      5                   </w:t>
            </w:r>
          </w:p>
        </w:tc>
        <w:tc>
          <w:tcPr>
            <w:tcW w:w="56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08" w:right="-288"/>
              <w:rPr>
                <w:rFonts w:ascii="Arial" w:hAnsi="Arial" w:cs="Arial"/>
                <w:b/>
                <w:sz w:val="16"/>
                <w:szCs w:val="16"/>
                <w:lang w:val="bg-BG"/>
              </w:rPr>
            </w:pPr>
            <w:r w:rsidRPr="005571B0">
              <w:rPr>
                <w:rFonts w:ascii="Arial" w:hAnsi="Arial" w:cs="Arial"/>
                <w:b/>
                <w:sz w:val="16"/>
                <w:szCs w:val="16"/>
                <w:shd w:val="clear" w:color="auto" w:fill="D9D9D9" w:themeFill="background1" w:themeFillShade="D9"/>
                <w:lang w:val="bg-BG"/>
              </w:rPr>
              <w:t>Общо</w:t>
            </w:r>
            <w:r w:rsidRPr="005571B0">
              <w:rPr>
                <w:rFonts w:ascii="Arial" w:hAnsi="Arial" w:cs="Arial"/>
                <w:b/>
                <w:sz w:val="16"/>
                <w:szCs w:val="16"/>
                <w:lang w:val="bg-BG"/>
              </w:rPr>
              <w:t>:</w:t>
            </w:r>
          </w:p>
        </w:tc>
        <w:tc>
          <w:tcPr>
            <w:tcW w:w="1843" w:type="dxa"/>
            <w:vAlign w:val="center"/>
          </w:tcPr>
          <w:p w:rsidR="001F5ECC" w:rsidRPr="005571B0" w:rsidRDefault="001F5ECC" w:rsidP="00042288">
            <w:pPr>
              <w:jc w:val="center"/>
              <w:rPr>
                <w:rFonts w:ascii="Arial" w:hAnsi="Arial" w:cs="Arial"/>
                <w:sz w:val="18"/>
                <w:szCs w:val="18"/>
                <w:lang w:val="bg-BG"/>
              </w:rPr>
            </w:pPr>
          </w:p>
        </w:tc>
        <w:tc>
          <w:tcPr>
            <w:tcW w:w="1559" w:type="dxa"/>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tcBorders>
            <w:vAlign w:val="center"/>
          </w:tcPr>
          <w:p w:rsidR="001F5ECC" w:rsidRPr="005571B0" w:rsidRDefault="001F5ECC" w:rsidP="00042288">
            <w:pPr>
              <w:ind w:right="-108"/>
              <w:jc w:val="center"/>
              <w:rPr>
                <w:rFonts w:ascii="Arial" w:hAnsi="Arial" w:cs="Arial"/>
                <w:sz w:val="18"/>
                <w:szCs w:val="18"/>
                <w:lang w:val="bg-BG"/>
              </w:rPr>
            </w:pPr>
          </w:p>
        </w:tc>
        <w:tc>
          <w:tcPr>
            <w:tcW w:w="1560" w:type="dxa"/>
            <w:tcBorders>
              <w:top w:val="single" w:sz="6" w:space="0" w:color="auto"/>
            </w:tcBorders>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right w:val="single" w:sz="18" w:space="0" w:color="auto"/>
            </w:tcBorders>
            <w:vAlign w:val="center"/>
          </w:tcPr>
          <w:p w:rsidR="001F5ECC" w:rsidRPr="005571B0" w:rsidRDefault="001F5ECC" w:rsidP="00042288">
            <w:pPr>
              <w:jc w:val="center"/>
              <w:rPr>
                <w:rFonts w:ascii="Arial" w:hAnsi="Arial" w:cs="Arial"/>
                <w:sz w:val="18"/>
                <w:szCs w:val="18"/>
                <w:lang w:val="bg-BG"/>
              </w:rPr>
            </w:pPr>
          </w:p>
        </w:tc>
        <w:tc>
          <w:tcPr>
            <w:tcW w:w="1417" w:type="dxa"/>
            <w:tcBorders>
              <w:top w:val="single" w:sz="18" w:space="0" w:color="auto"/>
              <w:left w:val="single" w:sz="18" w:space="0" w:color="auto"/>
              <w:bottom w:val="single" w:sz="18" w:space="0" w:color="auto"/>
            </w:tcBorders>
            <w:vAlign w:val="center"/>
          </w:tcPr>
          <w:p w:rsidR="001F5ECC" w:rsidRPr="005571B0" w:rsidRDefault="001F5ECC" w:rsidP="00042288">
            <w:pPr>
              <w:jc w:val="center"/>
              <w:rPr>
                <w:rFonts w:ascii="Arial" w:hAnsi="Arial" w:cs="Arial"/>
                <w:sz w:val="18"/>
                <w:szCs w:val="18"/>
                <w:lang w:val="bg-BG"/>
              </w:rPr>
            </w:pPr>
          </w:p>
        </w:tc>
      </w:tr>
    </w:tbl>
    <w:p w:rsidR="0001065B" w:rsidRPr="005571B0" w:rsidRDefault="0001065B" w:rsidP="0001065B">
      <w:pPr>
        <w:keepNext/>
        <w:ind w:left="-993" w:right="-709"/>
        <w:jc w:val="both"/>
        <w:rPr>
          <w:rFonts w:ascii="Arial" w:hAnsi="Arial" w:cs="Arial"/>
          <w:b/>
          <w:sz w:val="16"/>
          <w:szCs w:val="16"/>
        </w:rPr>
      </w:pPr>
    </w:p>
    <w:p w:rsidR="0001065B" w:rsidRPr="005571B0" w:rsidRDefault="0001065B" w:rsidP="0001065B">
      <w:pPr>
        <w:keepNext/>
        <w:ind w:left="-993" w:right="-709"/>
        <w:jc w:val="both"/>
        <w:rPr>
          <w:rFonts w:ascii="Arial" w:hAnsi="Arial" w:cs="Arial"/>
          <w:i/>
          <w:lang w:val="ru-RU"/>
        </w:rPr>
      </w:pPr>
      <w:r w:rsidRPr="005571B0">
        <w:rPr>
          <w:rFonts w:ascii="Arial" w:hAnsi="Arial" w:cs="Arial"/>
          <w:b/>
          <w:lang w:val="bg-BG"/>
        </w:rPr>
        <w:t>Част ІІ - Преизчисляване на окончателния данък за доходи по чл. 37 от ЗДДФЛ като данък върху годишната данъчна основа</w:t>
      </w:r>
      <w:r w:rsidR="00F0313F" w:rsidRPr="005571B0">
        <w:rPr>
          <w:rFonts w:ascii="Arial" w:hAnsi="Arial" w:cs="Arial"/>
          <w:b/>
          <w:lang w:val="bg-BG"/>
        </w:rPr>
        <w:t xml:space="preserve"> по чл. 28 от ЗДДФЛ</w:t>
      </w:r>
      <w:r w:rsidR="00F0313F" w:rsidRPr="005571B0">
        <w:rPr>
          <w:rFonts w:ascii="Arial" w:hAnsi="Arial" w:cs="Arial"/>
          <w:i/>
          <w:lang w:val="bg-BG"/>
        </w:rPr>
        <w:t xml:space="preserve"> </w:t>
      </w:r>
    </w:p>
    <w:tbl>
      <w:tblPr>
        <w:tblStyle w:val="TableGrid"/>
        <w:tblW w:w="10774"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426"/>
        <w:gridCol w:w="618"/>
        <w:gridCol w:w="1831"/>
        <w:gridCol w:w="1549"/>
        <w:gridCol w:w="1693"/>
        <w:gridCol w:w="1553"/>
        <w:gridCol w:w="1692"/>
        <w:gridCol w:w="1412"/>
      </w:tblGrid>
      <w:tr w:rsidR="005571B0" w:rsidRPr="005571B0" w:rsidTr="00042288">
        <w:tc>
          <w:tcPr>
            <w:tcW w:w="426"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8"/>
                <w:szCs w:val="18"/>
                <w:lang w:val="bg-BG"/>
              </w:rPr>
            </w:pPr>
            <w:r w:rsidRPr="005571B0">
              <w:rPr>
                <w:rFonts w:ascii="Arial" w:hAnsi="Arial" w:cs="Arial"/>
                <w:b/>
                <w:sz w:val="18"/>
                <w:szCs w:val="18"/>
                <w:lang w:val="bg-BG"/>
              </w:rPr>
              <w:t xml:space="preserve">№ </w:t>
            </w:r>
          </w:p>
        </w:tc>
        <w:tc>
          <w:tcPr>
            <w:tcW w:w="56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20"/>
                <w:szCs w:val="20"/>
                <w:lang w:val="bg-BG" w:eastAsia="bg-BG"/>
              </w:rPr>
            </w:pPr>
          </w:p>
          <w:p w:rsidR="001F5ECC" w:rsidRPr="005571B0" w:rsidRDefault="001F5ECC" w:rsidP="00042288">
            <w:pPr>
              <w:ind w:left="-108" w:right="-108"/>
              <w:jc w:val="center"/>
              <w:rPr>
                <w:rFonts w:ascii="Arial" w:hAnsi="Arial" w:cs="Arial"/>
                <w:sz w:val="18"/>
                <w:szCs w:val="18"/>
                <w:lang w:val="bg-BG" w:eastAsia="bg-BG"/>
              </w:rPr>
            </w:pPr>
            <w:r w:rsidRPr="005571B0">
              <w:rPr>
                <w:rFonts w:ascii="Arial" w:hAnsi="Arial" w:cs="Arial"/>
                <w:b/>
                <w:sz w:val="18"/>
                <w:szCs w:val="18"/>
                <w:lang w:val="bg-BG" w:eastAsia="bg-BG"/>
              </w:rPr>
              <w:t>Код</w:t>
            </w:r>
          </w:p>
          <w:p w:rsidR="001F5ECC" w:rsidRPr="005571B0" w:rsidRDefault="001F5ECC" w:rsidP="00042288">
            <w:pPr>
              <w:jc w:val="center"/>
              <w:rPr>
                <w:rFonts w:ascii="Arial" w:hAnsi="Arial" w:cs="Arial"/>
                <w:b/>
                <w:i/>
                <w:sz w:val="20"/>
                <w:szCs w:val="20"/>
                <w:lang w:val="bg-BG"/>
              </w:rPr>
            </w:pPr>
          </w:p>
        </w:tc>
        <w:tc>
          <w:tcPr>
            <w:tcW w:w="1843"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Размер на придобития доход по чл. 37 от ЗДДФЛ  </w:t>
            </w:r>
          </w:p>
        </w:tc>
        <w:tc>
          <w:tcPr>
            <w:tcW w:w="1559"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eastAsia="bg-BG"/>
              </w:rPr>
              <w:t>Внесен данък  за доходите по чл. 37 от ЗДДФЛ</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 xml:space="preserve">Преизчислен данък за доходите по </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6"/>
                <w:szCs w:val="16"/>
                <w:lang w:val="bg-BG"/>
              </w:rPr>
              <w:t>чл. 37 от ЗДДФЛ</w:t>
            </w:r>
          </w:p>
        </w:tc>
        <w:tc>
          <w:tcPr>
            <w:tcW w:w="1560"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може да бъде приспаднат в  съответната държава</w:t>
            </w:r>
          </w:p>
        </w:tc>
        <w:tc>
          <w:tcPr>
            <w:tcW w:w="1701"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 чл. 37 от ЗДДФЛ, който не може да бъде приспаднат в съответната държава</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(р. 5, к. 4 – р. 5, к. 6)</w:t>
            </w:r>
          </w:p>
        </w:tc>
        <w:tc>
          <w:tcPr>
            <w:tcW w:w="1417" w:type="dxa"/>
            <w:tcBorders>
              <w:top w:val="single" w:sz="18" w:space="0" w:color="auto"/>
              <w:bottom w:val="single" w:sz="6" w:space="0" w:color="auto"/>
            </w:tcBorders>
            <w:shd w:val="clear" w:color="auto" w:fill="D9D9D9" w:themeFill="background1" w:themeFillShade="D9"/>
            <w:vAlign w:val="center"/>
          </w:tcPr>
          <w:p w:rsidR="001F5ECC" w:rsidRPr="005571B0" w:rsidRDefault="001F5ECC" w:rsidP="00042288">
            <w:pPr>
              <w:ind w:left="-108"/>
              <w:jc w:val="center"/>
              <w:rPr>
                <w:rFonts w:ascii="Arial" w:hAnsi="Arial" w:cs="Arial"/>
                <w:b/>
                <w:sz w:val="16"/>
                <w:szCs w:val="16"/>
                <w:lang w:val="bg-BG"/>
              </w:rPr>
            </w:pPr>
            <w:r w:rsidRPr="005571B0">
              <w:rPr>
                <w:rFonts w:ascii="Arial" w:hAnsi="Arial" w:cs="Arial"/>
                <w:b/>
                <w:sz w:val="16"/>
                <w:szCs w:val="16"/>
                <w:lang w:val="bg-BG"/>
              </w:rPr>
              <w:t>Данък подлежащ на приспадане по чл. 37а от ЗДДФЛ</w:t>
            </w:r>
          </w:p>
          <w:p w:rsidR="001F5ECC" w:rsidRPr="005571B0" w:rsidRDefault="001F5ECC" w:rsidP="00042288">
            <w:pPr>
              <w:ind w:left="-108" w:right="-108"/>
              <w:jc w:val="center"/>
              <w:rPr>
                <w:rFonts w:ascii="Arial" w:hAnsi="Arial" w:cs="Arial"/>
                <w:b/>
                <w:sz w:val="14"/>
                <w:szCs w:val="14"/>
                <w:lang w:val="bg-BG"/>
              </w:rPr>
            </w:pPr>
            <w:r w:rsidRPr="005571B0">
              <w:rPr>
                <w:rFonts w:ascii="Arial" w:hAnsi="Arial" w:cs="Arial"/>
                <w:b/>
                <w:sz w:val="14"/>
                <w:szCs w:val="14"/>
                <w:lang w:val="bg-BG"/>
              </w:rPr>
              <w:t>(р. 5, к. 5 + р. 5, к. 7)</w:t>
            </w:r>
          </w:p>
          <w:p w:rsidR="001F5ECC" w:rsidRPr="005571B0" w:rsidRDefault="001F5ECC" w:rsidP="00042288">
            <w:pPr>
              <w:ind w:left="-108" w:right="-108"/>
              <w:jc w:val="center"/>
              <w:rPr>
                <w:rFonts w:ascii="Arial" w:hAnsi="Arial" w:cs="Arial"/>
                <w:b/>
                <w:sz w:val="16"/>
                <w:szCs w:val="16"/>
                <w:lang w:val="bg-BG"/>
              </w:rPr>
            </w:pPr>
            <w:r w:rsidRPr="005571B0">
              <w:rPr>
                <w:rFonts w:ascii="Arial" w:hAnsi="Arial" w:cs="Arial"/>
                <w:b/>
                <w:sz w:val="14"/>
                <w:szCs w:val="14"/>
                <w:lang w:val="bg-BG"/>
              </w:rPr>
              <w:t>≤ р. 5, к. 4</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1</w:t>
            </w:r>
          </w:p>
        </w:tc>
        <w:tc>
          <w:tcPr>
            <w:tcW w:w="56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2</w:t>
            </w:r>
          </w:p>
        </w:tc>
        <w:tc>
          <w:tcPr>
            <w:tcW w:w="1843"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3</w:t>
            </w:r>
          </w:p>
        </w:tc>
        <w:tc>
          <w:tcPr>
            <w:tcW w:w="1559"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4</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b/>
                <w:sz w:val="16"/>
                <w:szCs w:val="16"/>
                <w:lang w:val="bg-BG"/>
              </w:rPr>
            </w:pPr>
            <w:r w:rsidRPr="005571B0">
              <w:rPr>
                <w:rFonts w:ascii="Arial" w:hAnsi="Arial" w:cs="Arial"/>
                <w:b/>
                <w:sz w:val="16"/>
                <w:szCs w:val="16"/>
                <w:lang w:val="bg-BG"/>
              </w:rPr>
              <w:t>5</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6</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7</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b/>
                <w:sz w:val="16"/>
                <w:szCs w:val="16"/>
                <w:lang w:val="bg-BG"/>
              </w:rPr>
            </w:pPr>
            <w:r w:rsidRPr="005571B0">
              <w:rPr>
                <w:rFonts w:ascii="Arial" w:hAnsi="Arial" w:cs="Arial"/>
                <w:b/>
                <w:sz w:val="16"/>
                <w:szCs w:val="16"/>
                <w:lang w:val="bg-BG"/>
              </w:rPr>
              <w:t>8</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1</w:t>
            </w:r>
          </w:p>
        </w:tc>
        <w:tc>
          <w:tcPr>
            <w:tcW w:w="567"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tcBorders>
              <w:top w:val="single" w:sz="6" w:space="0" w:color="auto"/>
            </w:tcBorders>
            <w:vAlign w:val="center"/>
          </w:tcPr>
          <w:p w:rsidR="001F5ECC" w:rsidRPr="005571B0" w:rsidRDefault="001F5ECC" w:rsidP="00042288">
            <w:pPr>
              <w:ind w:left="-108"/>
              <w:jc w:val="center"/>
              <w:rPr>
                <w:rFonts w:ascii="Arial" w:hAnsi="Arial" w:cs="Arial"/>
                <w:sz w:val="18"/>
                <w:szCs w:val="18"/>
              </w:rPr>
            </w:pPr>
          </w:p>
        </w:tc>
        <w:tc>
          <w:tcPr>
            <w:tcW w:w="1559" w:type="dxa"/>
            <w:tcBorders>
              <w:top w:val="single" w:sz="6" w:space="0" w:color="auto"/>
            </w:tcBorders>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2</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42288">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3</w:t>
            </w:r>
          </w:p>
        </w:tc>
        <w:tc>
          <w:tcPr>
            <w:tcW w:w="567" w:type="dxa"/>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1065B">
        <w:tc>
          <w:tcPr>
            <w:tcW w:w="426"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4</w:t>
            </w:r>
          </w:p>
        </w:tc>
        <w:tc>
          <w:tcPr>
            <w:tcW w:w="567" w:type="dxa"/>
            <w:tcBorders>
              <w:bottom w:val="single" w:sz="6" w:space="0" w:color="auto"/>
            </w:tcBorders>
            <w:vAlign w:val="center"/>
          </w:tcPr>
          <w:p w:rsidR="001F5ECC" w:rsidRPr="005571B0" w:rsidRDefault="001F5ECC" w:rsidP="00042288">
            <w:pPr>
              <w:jc w:val="center"/>
              <w:rPr>
                <w:rFonts w:ascii="Arial" w:hAnsi="Arial" w:cs="Arial"/>
                <w:sz w:val="18"/>
                <w:szCs w:val="18"/>
              </w:rPr>
            </w:pPr>
          </w:p>
        </w:tc>
        <w:tc>
          <w:tcPr>
            <w:tcW w:w="1843" w:type="dxa"/>
            <w:vAlign w:val="center"/>
          </w:tcPr>
          <w:p w:rsidR="001F5ECC" w:rsidRPr="005571B0" w:rsidRDefault="001F5ECC" w:rsidP="00042288">
            <w:pPr>
              <w:jc w:val="center"/>
              <w:rPr>
                <w:rFonts w:ascii="Arial" w:hAnsi="Arial" w:cs="Arial"/>
                <w:sz w:val="18"/>
                <w:szCs w:val="18"/>
              </w:rPr>
            </w:pPr>
          </w:p>
        </w:tc>
        <w:tc>
          <w:tcPr>
            <w:tcW w:w="1559" w:type="dxa"/>
            <w:vAlign w:val="center"/>
          </w:tcPr>
          <w:p w:rsidR="001F5ECC" w:rsidRPr="005571B0" w:rsidRDefault="001F5ECC" w:rsidP="00042288">
            <w:pPr>
              <w:jc w:val="center"/>
              <w:rPr>
                <w:rFonts w:ascii="Arial" w:hAnsi="Arial" w:cs="Arial"/>
                <w:sz w:val="18"/>
                <w:szCs w:val="18"/>
              </w:rPr>
            </w:pP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ind w:right="-108"/>
              <w:jc w:val="center"/>
              <w:rPr>
                <w:rFonts w:ascii="Arial" w:hAnsi="Arial" w:cs="Arial"/>
                <w:sz w:val="18"/>
                <w:szCs w:val="18"/>
                <w:lang w:val="bg-BG"/>
              </w:rPr>
            </w:pPr>
            <w:r w:rsidRPr="005571B0">
              <w:rPr>
                <w:rFonts w:ascii="Arial" w:hAnsi="Arial" w:cs="Arial"/>
                <w:sz w:val="18"/>
                <w:szCs w:val="18"/>
                <w:lang w:val="bg-BG"/>
              </w:rPr>
              <w:t>х</w:t>
            </w:r>
          </w:p>
        </w:tc>
        <w:tc>
          <w:tcPr>
            <w:tcW w:w="1560"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701" w:type="dxa"/>
            <w:tcBorders>
              <w:top w:val="single" w:sz="6" w:space="0" w:color="auto"/>
              <w:bottom w:val="single" w:sz="6"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c>
          <w:tcPr>
            <w:tcW w:w="141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jc w:val="center"/>
              <w:rPr>
                <w:rFonts w:ascii="Arial" w:hAnsi="Arial" w:cs="Arial"/>
                <w:sz w:val="18"/>
                <w:szCs w:val="18"/>
                <w:lang w:val="bg-BG"/>
              </w:rPr>
            </w:pPr>
            <w:r w:rsidRPr="005571B0">
              <w:rPr>
                <w:rFonts w:ascii="Arial" w:hAnsi="Arial" w:cs="Arial"/>
                <w:sz w:val="18"/>
                <w:szCs w:val="18"/>
                <w:lang w:val="bg-BG"/>
              </w:rPr>
              <w:t>х</w:t>
            </w:r>
          </w:p>
        </w:tc>
      </w:tr>
      <w:tr w:rsidR="005571B0" w:rsidRPr="005571B0" w:rsidTr="0001065B">
        <w:tc>
          <w:tcPr>
            <w:tcW w:w="426"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80" w:right="-108"/>
              <w:rPr>
                <w:rFonts w:ascii="Arial" w:hAnsi="Arial" w:cs="Arial"/>
                <w:sz w:val="16"/>
                <w:szCs w:val="16"/>
                <w:lang w:val="bg-BG"/>
              </w:rPr>
            </w:pPr>
            <w:r w:rsidRPr="005571B0">
              <w:rPr>
                <w:rFonts w:ascii="Arial" w:hAnsi="Arial" w:cs="Arial"/>
                <w:sz w:val="18"/>
                <w:szCs w:val="18"/>
                <w:lang w:val="bg-BG" w:eastAsia="bg-BG"/>
              </w:rPr>
              <w:t xml:space="preserve">      5                   </w:t>
            </w:r>
          </w:p>
        </w:tc>
        <w:tc>
          <w:tcPr>
            <w:tcW w:w="567" w:type="dxa"/>
            <w:tcBorders>
              <w:top w:val="single" w:sz="6" w:space="0" w:color="auto"/>
              <w:bottom w:val="single" w:sz="18" w:space="0" w:color="auto"/>
            </w:tcBorders>
            <w:shd w:val="clear" w:color="auto" w:fill="D9D9D9" w:themeFill="background1" w:themeFillShade="D9"/>
            <w:vAlign w:val="center"/>
          </w:tcPr>
          <w:p w:rsidR="001F5ECC" w:rsidRPr="005571B0" w:rsidRDefault="001F5ECC" w:rsidP="00042288">
            <w:pPr>
              <w:ind w:left="-108" w:right="-288"/>
              <w:rPr>
                <w:rFonts w:ascii="Arial" w:hAnsi="Arial" w:cs="Arial"/>
                <w:b/>
                <w:sz w:val="16"/>
                <w:szCs w:val="16"/>
                <w:lang w:val="bg-BG"/>
              </w:rPr>
            </w:pPr>
            <w:r w:rsidRPr="005571B0">
              <w:rPr>
                <w:rFonts w:ascii="Arial" w:hAnsi="Arial" w:cs="Arial"/>
                <w:b/>
                <w:sz w:val="16"/>
                <w:szCs w:val="16"/>
                <w:shd w:val="clear" w:color="auto" w:fill="D9D9D9" w:themeFill="background1" w:themeFillShade="D9"/>
                <w:lang w:val="bg-BG"/>
              </w:rPr>
              <w:t>Общо</w:t>
            </w:r>
            <w:r w:rsidRPr="005571B0">
              <w:rPr>
                <w:rFonts w:ascii="Arial" w:hAnsi="Arial" w:cs="Arial"/>
                <w:b/>
                <w:sz w:val="16"/>
                <w:szCs w:val="16"/>
                <w:lang w:val="bg-BG"/>
              </w:rPr>
              <w:t>:</w:t>
            </w:r>
          </w:p>
        </w:tc>
        <w:tc>
          <w:tcPr>
            <w:tcW w:w="1843" w:type="dxa"/>
            <w:vAlign w:val="center"/>
          </w:tcPr>
          <w:p w:rsidR="001F5ECC" w:rsidRPr="005571B0" w:rsidRDefault="001F5ECC" w:rsidP="00042288">
            <w:pPr>
              <w:jc w:val="center"/>
              <w:rPr>
                <w:rFonts w:ascii="Arial" w:hAnsi="Arial" w:cs="Arial"/>
                <w:sz w:val="18"/>
                <w:szCs w:val="18"/>
                <w:lang w:val="bg-BG"/>
              </w:rPr>
            </w:pPr>
          </w:p>
        </w:tc>
        <w:tc>
          <w:tcPr>
            <w:tcW w:w="1559" w:type="dxa"/>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tcBorders>
            <w:vAlign w:val="center"/>
          </w:tcPr>
          <w:p w:rsidR="001F5ECC" w:rsidRPr="005571B0" w:rsidRDefault="001F5ECC" w:rsidP="00042288">
            <w:pPr>
              <w:ind w:right="-108"/>
              <w:jc w:val="center"/>
              <w:rPr>
                <w:rFonts w:ascii="Arial" w:hAnsi="Arial" w:cs="Arial"/>
                <w:sz w:val="18"/>
                <w:szCs w:val="18"/>
                <w:lang w:val="bg-BG"/>
              </w:rPr>
            </w:pPr>
          </w:p>
        </w:tc>
        <w:tc>
          <w:tcPr>
            <w:tcW w:w="1560" w:type="dxa"/>
            <w:tcBorders>
              <w:top w:val="single" w:sz="6" w:space="0" w:color="auto"/>
            </w:tcBorders>
            <w:vAlign w:val="center"/>
          </w:tcPr>
          <w:p w:rsidR="001F5ECC" w:rsidRPr="005571B0" w:rsidRDefault="001F5ECC" w:rsidP="00042288">
            <w:pPr>
              <w:jc w:val="center"/>
              <w:rPr>
                <w:rFonts w:ascii="Arial" w:hAnsi="Arial" w:cs="Arial"/>
                <w:sz w:val="18"/>
                <w:szCs w:val="18"/>
                <w:lang w:val="bg-BG"/>
              </w:rPr>
            </w:pPr>
          </w:p>
        </w:tc>
        <w:tc>
          <w:tcPr>
            <w:tcW w:w="1701" w:type="dxa"/>
            <w:tcBorders>
              <w:top w:val="single" w:sz="6" w:space="0" w:color="auto"/>
              <w:right w:val="single" w:sz="18" w:space="0" w:color="auto"/>
            </w:tcBorders>
            <w:vAlign w:val="center"/>
          </w:tcPr>
          <w:p w:rsidR="001F5ECC" w:rsidRPr="005571B0" w:rsidRDefault="001F5ECC" w:rsidP="00042288">
            <w:pPr>
              <w:jc w:val="center"/>
              <w:rPr>
                <w:rFonts w:ascii="Arial" w:hAnsi="Arial" w:cs="Arial"/>
                <w:sz w:val="18"/>
                <w:szCs w:val="18"/>
                <w:lang w:val="bg-BG"/>
              </w:rPr>
            </w:pPr>
          </w:p>
        </w:tc>
        <w:tc>
          <w:tcPr>
            <w:tcW w:w="1417" w:type="dxa"/>
            <w:tcBorders>
              <w:top w:val="single" w:sz="18" w:space="0" w:color="auto"/>
              <w:left w:val="single" w:sz="18" w:space="0" w:color="auto"/>
              <w:bottom w:val="single" w:sz="18" w:space="0" w:color="auto"/>
            </w:tcBorders>
            <w:vAlign w:val="center"/>
          </w:tcPr>
          <w:p w:rsidR="001F5ECC" w:rsidRPr="005571B0" w:rsidRDefault="001F5ECC" w:rsidP="00042288">
            <w:pPr>
              <w:jc w:val="center"/>
              <w:rPr>
                <w:rFonts w:ascii="Arial" w:hAnsi="Arial" w:cs="Arial"/>
                <w:sz w:val="18"/>
                <w:szCs w:val="18"/>
                <w:lang w:val="bg-BG"/>
              </w:rPr>
            </w:pPr>
          </w:p>
        </w:tc>
      </w:tr>
    </w:tbl>
    <w:p w:rsidR="001F5ECC" w:rsidRPr="005571B0" w:rsidRDefault="001F5ECC" w:rsidP="00E92FF2">
      <w:pPr>
        <w:keepNext/>
        <w:ind w:left="-993" w:right="-709"/>
        <w:jc w:val="both"/>
        <w:rPr>
          <w:rFonts w:ascii="Arial" w:hAnsi="Arial" w:cs="Arial"/>
          <w:i/>
        </w:rPr>
      </w:pPr>
    </w:p>
    <w:tbl>
      <w:tblPr>
        <w:tblStyle w:val="TableGrid"/>
        <w:tblW w:w="10774"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572"/>
        <w:gridCol w:w="4818"/>
        <w:gridCol w:w="708"/>
        <w:gridCol w:w="4676"/>
      </w:tblGrid>
      <w:tr w:rsidR="005571B0" w:rsidRPr="005571B0" w:rsidTr="00475944">
        <w:tc>
          <w:tcPr>
            <w:tcW w:w="10774" w:type="dxa"/>
            <w:gridSpan w:val="4"/>
            <w:tcBorders>
              <w:top w:val="single" w:sz="18" w:space="0" w:color="auto"/>
              <w:bottom w:val="single" w:sz="6" w:space="0" w:color="auto"/>
            </w:tcBorders>
            <w:shd w:val="clear" w:color="auto" w:fill="D9D9D9" w:themeFill="background1" w:themeFillShade="D9"/>
          </w:tcPr>
          <w:p w:rsidR="00C775D1" w:rsidRPr="005571B0" w:rsidRDefault="00C775D1" w:rsidP="00D47A0E">
            <w:pPr>
              <w:keepNext/>
              <w:ind w:right="-709"/>
              <w:jc w:val="center"/>
              <w:rPr>
                <w:rFonts w:ascii="Arial" w:hAnsi="Arial" w:cs="Arial"/>
                <w:i/>
                <w:lang w:val="ru-RU"/>
              </w:rPr>
            </w:pPr>
            <w:r w:rsidRPr="005571B0">
              <w:rPr>
                <w:rFonts w:ascii="Arial" w:hAnsi="Arial" w:cs="Arial"/>
                <w:b/>
                <w:i/>
                <w:sz w:val="16"/>
                <w:szCs w:val="16"/>
                <w:lang w:val="bg-BG"/>
              </w:rPr>
              <w:t>Код и вид на дохода:</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C775D1" w:rsidRPr="005571B0" w:rsidRDefault="00C775D1" w:rsidP="007D3586">
            <w:pPr>
              <w:jc w:val="center"/>
              <w:rPr>
                <w:rFonts w:ascii="Arial" w:hAnsi="Arial" w:cs="Arial"/>
                <w:b/>
                <w:i/>
                <w:iCs/>
                <w:sz w:val="16"/>
                <w:szCs w:val="16"/>
                <w:lang w:val="bg-BG"/>
              </w:rPr>
            </w:pPr>
            <w:r w:rsidRPr="005571B0">
              <w:rPr>
                <w:rFonts w:ascii="Arial" w:hAnsi="Arial" w:cs="Arial"/>
                <w:b/>
                <w:i/>
                <w:iCs/>
                <w:sz w:val="16"/>
                <w:szCs w:val="16"/>
                <w:lang w:val="bg-BG"/>
              </w:rPr>
              <w:t>1201</w:t>
            </w:r>
          </w:p>
        </w:tc>
        <w:tc>
          <w:tcPr>
            <w:tcW w:w="4818" w:type="dxa"/>
            <w:tcBorders>
              <w:top w:val="single" w:sz="6" w:space="0" w:color="auto"/>
            </w:tcBorders>
            <w:vAlign w:val="center"/>
          </w:tcPr>
          <w:p w:rsidR="00C775D1" w:rsidRPr="005571B0" w:rsidRDefault="00C775D1" w:rsidP="007D3586">
            <w:pPr>
              <w:jc w:val="both"/>
              <w:rPr>
                <w:rFonts w:ascii="Arial" w:hAnsi="Arial" w:cs="Arial"/>
                <w:b/>
                <w:i/>
                <w:iCs/>
                <w:sz w:val="20"/>
                <w:szCs w:val="20"/>
                <w:lang w:val="bg-BG"/>
              </w:rPr>
            </w:pPr>
            <w:r w:rsidRPr="005571B0">
              <w:rPr>
                <w:rFonts w:ascii="Arial" w:hAnsi="Arial" w:cs="Arial"/>
                <w:bCs/>
                <w:i/>
                <w:iCs/>
                <w:sz w:val="14"/>
                <w:szCs w:val="14"/>
                <w:lang w:val="bg-BG"/>
              </w:rPr>
              <w:t>Обезщетения за пропуснати ползи и неустойки с такъв характер</w:t>
            </w:r>
          </w:p>
        </w:tc>
        <w:tc>
          <w:tcPr>
            <w:tcW w:w="708" w:type="dxa"/>
            <w:tcBorders>
              <w:top w:val="single" w:sz="6" w:space="0" w:color="auto"/>
              <w:bottom w:val="single" w:sz="6" w:space="0" w:color="auto"/>
            </w:tcBorders>
            <w:shd w:val="clear" w:color="auto" w:fill="D9D9D9" w:themeFill="background1" w:themeFillShade="D9"/>
            <w:vAlign w:val="center"/>
          </w:tcPr>
          <w:p w:rsidR="00C775D1" w:rsidRPr="005571B0" w:rsidRDefault="00C775D1" w:rsidP="007D3586">
            <w:pPr>
              <w:jc w:val="center"/>
              <w:rPr>
                <w:rFonts w:ascii="Arial" w:hAnsi="Arial" w:cs="Arial"/>
                <w:b/>
                <w:i/>
                <w:iCs/>
                <w:sz w:val="16"/>
                <w:szCs w:val="16"/>
                <w:lang w:val="bg-BG"/>
              </w:rPr>
            </w:pPr>
            <w:r w:rsidRPr="005571B0">
              <w:rPr>
                <w:rFonts w:ascii="Arial" w:hAnsi="Arial" w:cs="Arial"/>
                <w:b/>
                <w:i/>
                <w:iCs/>
                <w:sz w:val="16"/>
                <w:szCs w:val="16"/>
                <w:lang w:val="bg-BG"/>
              </w:rPr>
              <w:t>1207</w:t>
            </w:r>
          </w:p>
        </w:tc>
        <w:tc>
          <w:tcPr>
            <w:tcW w:w="4676" w:type="dxa"/>
            <w:tcBorders>
              <w:top w:val="single" w:sz="6" w:space="0" w:color="auto"/>
            </w:tcBorders>
            <w:vAlign w:val="center"/>
          </w:tcPr>
          <w:p w:rsidR="00C775D1" w:rsidRPr="005571B0" w:rsidRDefault="00C775D1" w:rsidP="007D3586">
            <w:pPr>
              <w:jc w:val="both"/>
              <w:rPr>
                <w:rFonts w:ascii="Arial" w:hAnsi="Arial" w:cs="Arial"/>
                <w:b/>
                <w:i/>
                <w:iCs/>
                <w:sz w:val="20"/>
                <w:szCs w:val="20"/>
                <w:lang w:val="bg-BG"/>
              </w:rPr>
            </w:pPr>
            <w:r w:rsidRPr="005571B0">
              <w:rPr>
                <w:rFonts w:ascii="Arial" w:hAnsi="Arial" w:cs="Arial"/>
                <w:bCs/>
                <w:i/>
                <w:iCs/>
                <w:sz w:val="14"/>
                <w:szCs w:val="14"/>
                <w:lang w:val="bg-BG"/>
              </w:rPr>
              <w:t>Възнаграждения за технически услуги</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1202</w:t>
            </w:r>
          </w:p>
        </w:tc>
        <w:tc>
          <w:tcPr>
            <w:tcW w:w="4818"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Стипендии за обучение в страната и чужбина</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1208</w:t>
            </w:r>
          </w:p>
        </w:tc>
        <w:tc>
          <w:tcPr>
            <w:tcW w:w="4676"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Награди и възнаграждения за дейност, извършена на територията на страната от чуждестранни физически лица – общественици, дейци на науката, изкуството, културата и спорта, включително когато доходът е изплатен/начислен чрез трето лице като импресарска агенция, продуцентска къща и други посредници</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1203</w:t>
            </w:r>
          </w:p>
        </w:tc>
        <w:tc>
          <w:tcPr>
            <w:tcW w:w="4818"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Лихви, в т.ч. съдържащи се във вноските по лизинг</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1209</w:t>
            </w:r>
          </w:p>
        </w:tc>
        <w:tc>
          <w:tcPr>
            <w:tcW w:w="4676"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Доходи от управление и контрол, от участие в управителни и контролни органи на предприятия</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1204</w:t>
            </w:r>
          </w:p>
        </w:tc>
        <w:tc>
          <w:tcPr>
            <w:tcW w:w="4818"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Доходи от наем или от друго възмездно предоставяне за ползване на движимо или недвижимо имущество, включително вноски по договор за лизинг, в който не е изрично предвидено прехвърляне на правото на собственост</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1210</w:t>
            </w:r>
          </w:p>
        </w:tc>
        <w:tc>
          <w:tcPr>
            <w:tcW w:w="4676" w:type="dxa"/>
            <w:vAlign w:val="center"/>
          </w:tcPr>
          <w:p w:rsidR="007D3586" w:rsidRPr="005571B0" w:rsidRDefault="007D3586" w:rsidP="007D3586">
            <w:pPr>
              <w:jc w:val="both"/>
              <w:rPr>
                <w:rFonts w:ascii="Arial" w:hAnsi="Arial" w:cs="Arial"/>
                <w:b/>
                <w:i/>
                <w:iCs/>
                <w:sz w:val="20"/>
                <w:szCs w:val="20"/>
                <w:lang w:val="bg-BG"/>
              </w:rPr>
            </w:pPr>
            <w:r w:rsidRPr="005571B0">
              <w:rPr>
                <w:rFonts w:ascii="Arial" w:hAnsi="Arial" w:cs="Arial"/>
                <w:bCs/>
                <w:i/>
                <w:iCs/>
                <w:sz w:val="14"/>
                <w:szCs w:val="14"/>
                <w:lang w:val="bg-BG"/>
              </w:rPr>
              <w:t>Доходи от продажба, замяна и друго възмездно прехвърляне на недвижимо имущество</w:t>
            </w:r>
          </w:p>
        </w:tc>
      </w:tr>
      <w:tr w:rsidR="005571B0" w:rsidRPr="005571B0" w:rsidTr="007D3586">
        <w:tc>
          <w:tcPr>
            <w:tcW w:w="572"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1205</w:t>
            </w:r>
          </w:p>
        </w:tc>
        <w:tc>
          <w:tcPr>
            <w:tcW w:w="4818"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Възнаграждения по договори за франчайз и факторинг</w:t>
            </w:r>
          </w:p>
        </w:tc>
        <w:tc>
          <w:tcPr>
            <w:tcW w:w="708" w:type="dxa"/>
            <w:tcBorders>
              <w:top w:val="single" w:sz="6" w:space="0" w:color="auto"/>
              <w:bottom w:val="single" w:sz="6"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1211</w:t>
            </w:r>
          </w:p>
        </w:tc>
        <w:tc>
          <w:tcPr>
            <w:tcW w:w="4676" w:type="dxa"/>
            <w:vAlign w:val="center"/>
          </w:tcPr>
          <w:p w:rsidR="007D3586" w:rsidRPr="005571B0" w:rsidRDefault="007D3586" w:rsidP="007D3586">
            <w:pPr>
              <w:jc w:val="both"/>
              <w:rPr>
                <w:rFonts w:ascii="Arial" w:hAnsi="Arial" w:cs="Arial"/>
                <w:bCs/>
                <w:i/>
                <w:iCs/>
                <w:sz w:val="14"/>
                <w:szCs w:val="14"/>
                <w:lang w:val="bg-BG"/>
              </w:rPr>
            </w:pPr>
            <w:r w:rsidRPr="005571B0">
              <w:rPr>
                <w:rFonts w:ascii="Arial" w:hAnsi="Arial" w:cs="Arial"/>
                <w:bCs/>
                <w:i/>
                <w:iCs/>
                <w:sz w:val="14"/>
                <w:szCs w:val="14"/>
                <w:lang w:val="bg-BG"/>
              </w:rPr>
              <w:t>Вноски по договор за лизинг, в който изрично е предвидено прехвърляне на правото на собственост на недвижимо имущество</w:t>
            </w:r>
          </w:p>
        </w:tc>
      </w:tr>
      <w:tr w:rsidR="005571B0" w:rsidRPr="005571B0" w:rsidTr="007D3586">
        <w:tc>
          <w:tcPr>
            <w:tcW w:w="572" w:type="dxa"/>
            <w:tcBorders>
              <w:top w:val="single" w:sz="6" w:space="0" w:color="auto"/>
              <w:bottom w:val="single" w:sz="18"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1206</w:t>
            </w:r>
          </w:p>
        </w:tc>
        <w:tc>
          <w:tcPr>
            <w:tcW w:w="4818" w:type="dxa"/>
            <w:vAlign w:val="center"/>
          </w:tcPr>
          <w:p w:rsidR="007D3586" w:rsidRPr="005571B0" w:rsidRDefault="007D3586" w:rsidP="007D3586">
            <w:pPr>
              <w:jc w:val="both"/>
              <w:rPr>
                <w:rFonts w:ascii="Arial" w:hAnsi="Arial" w:cs="Arial"/>
                <w:i/>
                <w:iCs/>
                <w:sz w:val="14"/>
                <w:szCs w:val="14"/>
                <w:lang w:val="bg-BG"/>
              </w:rPr>
            </w:pPr>
            <w:r w:rsidRPr="005571B0">
              <w:rPr>
                <w:rFonts w:ascii="Arial" w:hAnsi="Arial" w:cs="Arial"/>
                <w:i/>
                <w:iCs/>
                <w:sz w:val="14"/>
                <w:szCs w:val="14"/>
                <w:lang w:val="bg-BG"/>
              </w:rPr>
              <w:t>Авторски и лицензионни възнаграждения</w:t>
            </w:r>
          </w:p>
        </w:tc>
        <w:tc>
          <w:tcPr>
            <w:tcW w:w="708" w:type="dxa"/>
            <w:tcBorders>
              <w:top w:val="single" w:sz="6" w:space="0" w:color="auto"/>
              <w:bottom w:val="single" w:sz="18" w:space="0" w:color="auto"/>
            </w:tcBorders>
            <w:shd w:val="clear" w:color="auto" w:fill="D9D9D9" w:themeFill="background1" w:themeFillShade="D9"/>
            <w:vAlign w:val="center"/>
          </w:tcPr>
          <w:p w:rsidR="007D3586" w:rsidRPr="005571B0" w:rsidRDefault="007D3586" w:rsidP="007D3586">
            <w:pPr>
              <w:jc w:val="center"/>
              <w:rPr>
                <w:rFonts w:ascii="Arial" w:hAnsi="Arial" w:cs="Arial"/>
                <w:b/>
                <w:i/>
                <w:iCs/>
                <w:sz w:val="16"/>
                <w:szCs w:val="16"/>
                <w:lang w:val="bg-BG"/>
              </w:rPr>
            </w:pPr>
            <w:r w:rsidRPr="005571B0">
              <w:rPr>
                <w:rFonts w:ascii="Arial" w:hAnsi="Arial" w:cs="Arial"/>
                <w:b/>
                <w:i/>
                <w:iCs/>
                <w:sz w:val="16"/>
                <w:szCs w:val="16"/>
                <w:lang w:val="bg-BG"/>
              </w:rPr>
              <w:t>1212</w:t>
            </w:r>
          </w:p>
        </w:tc>
        <w:tc>
          <w:tcPr>
            <w:tcW w:w="4676" w:type="dxa"/>
            <w:vAlign w:val="center"/>
          </w:tcPr>
          <w:p w:rsidR="007D3586" w:rsidRPr="005571B0" w:rsidRDefault="007D3586" w:rsidP="007D3586">
            <w:pPr>
              <w:jc w:val="both"/>
              <w:rPr>
                <w:rFonts w:ascii="Arial" w:hAnsi="Arial" w:cs="Arial"/>
                <w:i/>
                <w:iCs/>
                <w:sz w:val="14"/>
                <w:szCs w:val="14"/>
                <w:lang w:val="bg-BG"/>
              </w:rPr>
            </w:pPr>
            <w:r w:rsidRPr="005571B0">
              <w:rPr>
                <w:rFonts w:ascii="Arial" w:hAnsi="Arial" w:cs="Arial"/>
                <w:i/>
                <w:iCs/>
                <w:sz w:val="14"/>
                <w:szCs w:val="14"/>
                <w:lang w:val="bg-BG"/>
              </w:rPr>
              <w:t>Доходи от продажба, замяна и друго възмездно прехвърляне на акции, дялове, компенсаторни инструменти, инвестиционни бонове и други финансови активи, с изключение на доходите от замяна по чл. 38, ал. 5 от ЗДДФЛ</w:t>
            </w:r>
          </w:p>
        </w:tc>
      </w:tr>
    </w:tbl>
    <w:p w:rsidR="001F5ECC" w:rsidRPr="005571B0" w:rsidRDefault="001F5ECC" w:rsidP="007D3586">
      <w:pPr>
        <w:keepNext/>
        <w:ind w:left="-993" w:right="-709"/>
        <w:jc w:val="both"/>
        <w:rPr>
          <w:rFonts w:ascii="Arial" w:hAnsi="Arial" w:cs="Arial"/>
          <w:i/>
          <w:sz w:val="20"/>
          <w:szCs w:val="20"/>
          <w:lang w:val="bg-BG"/>
        </w:rPr>
      </w:pPr>
    </w:p>
    <w:tbl>
      <w:tblPr>
        <w:tblW w:w="10768" w:type="dxa"/>
        <w:tblInd w:w="-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3158"/>
        <w:gridCol w:w="2694"/>
        <w:gridCol w:w="3118"/>
      </w:tblGrid>
      <w:tr w:rsidR="005571B0" w:rsidRPr="005571B0" w:rsidTr="007B6DED">
        <w:trPr>
          <w:cantSplit/>
          <w:trHeight w:val="245"/>
        </w:trPr>
        <w:tc>
          <w:tcPr>
            <w:tcW w:w="1798" w:type="dxa"/>
            <w:vMerge w:val="restart"/>
            <w:tcBorders>
              <w:top w:val="single" w:sz="18" w:space="0" w:color="auto"/>
              <w:left w:val="single" w:sz="18" w:space="0" w:color="auto"/>
              <w:bottom w:val="single" w:sz="18" w:space="0" w:color="auto"/>
              <w:right w:val="single" w:sz="4" w:space="0" w:color="auto"/>
            </w:tcBorders>
            <w:shd w:val="clear" w:color="auto" w:fill="E0E0E0"/>
            <w:vAlign w:val="center"/>
          </w:tcPr>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Подпис на</w:t>
            </w:r>
          </w:p>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декларатора</w:t>
            </w:r>
          </w:p>
        </w:tc>
        <w:tc>
          <w:tcPr>
            <w:tcW w:w="3158" w:type="dxa"/>
            <w:vMerge w:val="restart"/>
            <w:tcBorders>
              <w:top w:val="single" w:sz="18" w:space="0" w:color="auto"/>
              <w:left w:val="single" w:sz="4" w:space="0" w:color="auto"/>
              <w:bottom w:val="single" w:sz="4" w:space="0" w:color="auto"/>
              <w:right w:val="single" w:sz="4" w:space="0" w:color="auto"/>
            </w:tcBorders>
            <w:vAlign w:val="center"/>
          </w:tcPr>
          <w:p w:rsidR="00E03AB5" w:rsidRPr="005571B0" w:rsidRDefault="00E03AB5" w:rsidP="007B6DED">
            <w:pPr>
              <w:jc w:val="center"/>
              <w:rPr>
                <w:rFonts w:ascii="Arial" w:hAnsi="Arial" w:cs="Arial"/>
                <w:b/>
                <w:sz w:val="16"/>
                <w:szCs w:val="16"/>
                <w:lang w:val="bg-BG"/>
              </w:rPr>
            </w:pPr>
          </w:p>
          <w:p w:rsidR="00E03AB5" w:rsidRPr="005571B0" w:rsidRDefault="00E03AB5" w:rsidP="007B6DED">
            <w:pPr>
              <w:jc w:val="center"/>
              <w:rPr>
                <w:rFonts w:ascii="Arial" w:hAnsi="Arial" w:cs="Arial"/>
                <w:b/>
                <w:sz w:val="16"/>
                <w:szCs w:val="16"/>
                <w:lang w:val="bg-BG"/>
              </w:rPr>
            </w:pPr>
          </w:p>
        </w:tc>
        <w:tc>
          <w:tcPr>
            <w:tcW w:w="2694" w:type="dxa"/>
            <w:vMerge w:val="restart"/>
            <w:tcBorders>
              <w:top w:val="single" w:sz="18" w:space="0" w:color="auto"/>
              <w:left w:val="single" w:sz="4" w:space="0" w:color="auto"/>
              <w:bottom w:val="single" w:sz="18" w:space="0" w:color="auto"/>
            </w:tcBorders>
            <w:shd w:val="clear" w:color="auto" w:fill="E0E0E0"/>
            <w:vAlign w:val="center"/>
          </w:tcPr>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Подпис на</w:t>
            </w:r>
          </w:p>
          <w:p w:rsidR="00E03AB5" w:rsidRPr="005571B0" w:rsidRDefault="00E03AB5" w:rsidP="007B6DED">
            <w:pPr>
              <w:jc w:val="center"/>
              <w:rPr>
                <w:rFonts w:ascii="Arial" w:hAnsi="Arial" w:cs="Arial"/>
                <w:b/>
                <w:sz w:val="16"/>
                <w:szCs w:val="16"/>
                <w:lang w:val="bg-BG"/>
              </w:rPr>
            </w:pPr>
            <w:r w:rsidRPr="005571B0">
              <w:rPr>
                <w:rFonts w:ascii="Arial" w:hAnsi="Arial" w:cs="Arial"/>
                <w:b/>
                <w:sz w:val="16"/>
                <w:szCs w:val="16"/>
                <w:lang w:val="bg-BG"/>
              </w:rPr>
              <w:t>упълномощеното лице/ законния представител</w:t>
            </w:r>
          </w:p>
        </w:tc>
        <w:tc>
          <w:tcPr>
            <w:tcW w:w="3118" w:type="dxa"/>
            <w:vMerge w:val="restart"/>
            <w:tcBorders>
              <w:top w:val="single" w:sz="18" w:space="0" w:color="auto"/>
              <w:left w:val="single" w:sz="4" w:space="0" w:color="auto"/>
              <w:right w:val="single" w:sz="18" w:space="0" w:color="auto"/>
            </w:tcBorders>
          </w:tcPr>
          <w:p w:rsidR="00E03AB5" w:rsidRPr="005571B0" w:rsidRDefault="00E03AB5" w:rsidP="00042288">
            <w:pPr>
              <w:rPr>
                <w:rFonts w:ascii="Arial" w:hAnsi="Arial" w:cs="Arial"/>
                <w:sz w:val="16"/>
                <w:szCs w:val="16"/>
                <w:lang w:val="bg-BG"/>
              </w:rPr>
            </w:pPr>
          </w:p>
        </w:tc>
      </w:tr>
      <w:tr w:rsidR="005571B0" w:rsidRPr="005571B0" w:rsidTr="00042288">
        <w:trPr>
          <w:cantSplit/>
          <w:trHeight w:val="245"/>
        </w:trPr>
        <w:tc>
          <w:tcPr>
            <w:tcW w:w="1798" w:type="dxa"/>
            <w:vMerge/>
            <w:tcBorders>
              <w:top w:val="nil"/>
              <w:left w:val="single" w:sz="18" w:space="0" w:color="auto"/>
              <w:bottom w:val="single" w:sz="18" w:space="0" w:color="auto"/>
              <w:right w:val="single" w:sz="4" w:space="0" w:color="auto"/>
            </w:tcBorders>
            <w:shd w:val="clear" w:color="auto" w:fill="E0E0E0"/>
          </w:tcPr>
          <w:p w:rsidR="00E03AB5" w:rsidRPr="005571B0" w:rsidRDefault="00E03AB5" w:rsidP="00042288">
            <w:pPr>
              <w:rPr>
                <w:rFonts w:ascii="Arial" w:hAnsi="Arial"/>
                <w:b/>
                <w:i/>
                <w:sz w:val="16"/>
                <w:szCs w:val="16"/>
                <w:lang w:val="bg-BG"/>
              </w:rPr>
            </w:pPr>
          </w:p>
        </w:tc>
        <w:tc>
          <w:tcPr>
            <w:tcW w:w="3158" w:type="dxa"/>
            <w:vMerge/>
            <w:tcBorders>
              <w:top w:val="nil"/>
              <w:left w:val="single" w:sz="4" w:space="0" w:color="auto"/>
              <w:bottom w:val="single" w:sz="18" w:space="0" w:color="auto"/>
              <w:right w:val="single" w:sz="4" w:space="0" w:color="auto"/>
            </w:tcBorders>
          </w:tcPr>
          <w:p w:rsidR="00E03AB5" w:rsidRPr="005571B0" w:rsidRDefault="00E03AB5" w:rsidP="00042288">
            <w:pPr>
              <w:rPr>
                <w:rFonts w:ascii="Arial" w:hAnsi="Arial"/>
                <w:b/>
                <w:i/>
                <w:sz w:val="16"/>
                <w:szCs w:val="16"/>
                <w:lang w:val="bg-BG"/>
              </w:rPr>
            </w:pPr>
          </w:p>
        </w:tc>
        <w:tc>
          <w:tcPr>
            <w:tcW w:w="2694" w:type="dxa"/>
            <w:vMerge/>
            <w:tcBorders>
              <w:left w:val="single" w:sz="4" w:space="0" w:color="auto"/>
              <w:bottom w:val="single" w:sz="18" w:space="0" w:color="auto"/>
            </w:tcBorders>
            <w:shd w:val="clear" w:color="auto" w:fill="E0E0E0"/>
          </w:tcPr>
          <w:p w:rsidR="00E03AB5" w:rsidRPr="005571B0" w:rsidRDefault="00E03AB5" w:rsidP="00042288">
            <w:pPr>
              <w:rPr>
                <w:rFonts w:ascii="Arial" w:hAnsi="Arial"/>
                <w:b/>
                <w:i/>
                <w:sz w:val="16"/>
                <w:szCs w:val="16"/>
                <w:lang w:val="bg-BG"/>
              </w:rPr>
            </w:pPr>
          </w:p>
        </w:tc>
        <w:tc>
          <w:tcPr>
            <w:tcW w:w="3118" w:type="dxa"/>
            <w:vMerge/>
            <w:tcBorders>
              <w:left w:val="single" w:sz="4" w:space="0" w:color="auto"/>
              <w:bottom w:val="single" w:sz="18" w:space="0" w:color="auto"/>
              <w:right w:val="single" w:sz="18" w:space="0" w:color="auto"/>
            </w:tcBorders>
          </w:tcPr>
          <w:p w:rsidR="00E03AB5" w:rsidRPr="005571B0" w:rsidRDefault="00E03AB5" w:rsidP="00042288">
            <w:pPr>
              <w:rPr>
                <w:rFonts w:ascii="Arial" w:hAnsi="Arial"/>
                <w:b/>
                <w:i/>
                <w:sz w:val="16"/>
                <w:szCs w:val="16"/>
                <w:lang w:val="bg-BG"/>
              </w:rPr>
            </w:pPr>
          </w:p>
        </w:tc>
      </w:tr>
    </w:tbl>
    <w:p w:rsidR="0082257A" w:rsidRPr="005571B0" w:rsidRDefault="0082257A" w:rsidP="0082257A">
      <w:pPr>
        <w:ind w:left="-851"/>
        <w:jc w:val="center"/>
        <w:rPr>
          <w:rFonts w:ascii="Arial" w:hAnsi="Arial" w:cs="Arial"/>
          <w:b/>
          <w:sz w:val="18"/>
          <w:szCs w:val="18"/>
          <w:lang w:val="bg-BG"/>
        </w:rPr>
      </w:pPr>
      <w:r w:rsidRPr="005571B0">
        <w:rPr>
          <w:rFonts w:ascii="Arial" w:hAnsi="Arial" w:cs="Arial"/>
          <w:b/>
          <w:sz w:val="18"/>
          <w:szCs w:val="18"/>
          <w:lang w:val="bg-BG"/>
        </w:rPr>
        <w:t>За деклариране на неверни данни се носи наказателна отговорност по Наказателния кодекс.</w:t>
      </w:r>
    </w:p>
    <w:p w:rsidR="00D47A0E" w:rsidRPr="005571B0" w:rsidRDefault="00D47A0E" w:rsidP="00D47A0E">
      <w:pPr>
        <w:jc w:val="center"/>
        <w:rPr>
          <w:rFonts w:ascii="Arial" w:hAnsi="Arial" w:cs="Arial"/>
          <w:b/>
          <w:sz w:val="28"/>
          <w:szCs w:val="28"/>
          <w:lang w:val="bg-BG"/>
        </w:rPr>
      </w:pPr>
      <w:r w:rsidRPr="005571B0">
        <w:rPr>
          <w:rFonts w:ascii="Arial" w:hAnsi="Arial" w:cs="Arial"/>
          <w:b/>
          <w:sz w:val="28"/>
          <w:szCs w:val="28"/>
          <w:lang w:val="bg-BG"/>
        </w:rPr>
        <w:lastRenderedPageBreak/>
        <w:t>УКАЗАНИЯ</w:t>
      </w:r>
    </w:p>
    <w:p w:rsidR="00D47A0E" w:rsidRPr="005571B0" w:rsidRDefault="00D47A0E">
      <w:pPr>
        <w:rPr>
          <w:rFonts w:ascii="Arial" w:hAnsi="Arial" w:cs="Arial"/>
          <w:lang w:val="bg-BG"/>
        </w:rPr>
      </w:pPr>
    </w:p>
    <w:p w:rsidR="00F45B02" w:rsidRPr="005571B0" w:rsidRDefault="00F45B02" w:rsidP="00472B93">
      <w:pPr>
        <w:jc w:val="both"/>
        <w:rPr>
          <w:rFonts w:ascii="Arial" w:hAnsi="Arial" w:cs="Arial"/>
          <w:b/>
          <w:sz w:val="20"/>
          <w:szCs w:val="20"/>
          <w:lang w:val="bg-BG"/>
        </w:rPr>
        <w:sectPr w:rsidR="00F45B02" w:rsidRPr="005571B0" w:rsidSect="00896FEE">
          <w:footerReference w:type="default" r:id="rId8"/>
          <w:pgSz w:w="11906" w:h="16838"/>
          <w:pgMar w:top="1417" w:right="1417" w:bottom="1417" w:left="1417" w:header="708" w:footer="708" w:gutter="0"/>
          <w:cols w:space="708"/>
          <w:titlePg/>
          <w:docGrid w:linePitch="360"/>
        </w:sectPr>
      </w:pPr>
    </w:p>
    <w:p w:rsidR="00FC00BF" w:rsidRPr="005571B0" w:rsidRDefault="00D47A0E" w:rsidP="003908C6">
      <w:pPr>
        <w:ind w:firstLine="426"/>
        <w:jc w:val="both"/>
        <w:rPr>
          <w:rFonts w:ascii="Arial" w:hAnsi="Arial" w:cs="Arial"/>
          <w:sz w:val="20"/>
          <w:szCs w:val="20"/>
          <w:lang w:val="bg-BG"/>
        </w:rPr>
      </w:pPr>
      <w:r w:rsidRPr="005571B0">
        <w:rPr>
          <w:rFonts w:ascii="Arial" w:hAnsi="Arial" w:cs="Arial"/>
          <w:b/>
          <w:sz w:val="20"/>
          <w:szCs w:val="20"/>
          <w:lang w:val="bg-BG"/>
        </w:rPr>
        <w:t>Част І</w:t>
      </w:r>
      <w:r w:rsidRPr="005571B0">
        <w:rPr>
          <w:rFonts w:ascii="Arial" w:hAnsi="Arial" w:cs="Arial"/>
          <w:sz w:val="20"/>
          <w:szCs w:val="20"/>
          <w:lang w:val="bg-BG"/>
        </w:rPr>
        <w:t xml:space="preserve"> се </w:t>
      </w:r>
      <w:r w:rsidR="00E92FF2" w:rsidRPr="005571B0">
        <w:rPr>
          <w:rFonts w:ascii="Arial" w:hAnsi="Arial" w:cs="Arial"/>
          <w:sz w:val="20"/>
          <w:szCs w:val="20"/>
          <w:lang w:val="bg-BG"/>
        </w:rPr>
        <w:t xml:space="preserve">попълва </w:t>
      </w:r>
      <w:r w:rsidR="00B830DB" w:rsidRPr="005571B0">
        <w:rPr>
          <w:rFonts w:ascii="Arial" w:hAnsi="Arial" w:cs="Arial"/>
          <w:sz w:val="20"/>
          <w:szCs w:val="20"/>
          <w:lang w:val="bg-BG"/>
        </w:rPr>
        <w:t>от</w:t>
      </w:r>
      <w:r w:rsidR="00E92FF2" w:rsidRPr="005571B0">
        <w:rPr>
          <w:rFonts w:ascii="Arial" w:hAnsi="Arial" w:cs="Arial"/>
          <w:sz w:val="20"/>
          <w:szCs w:val="20"/>
          <w:lang w:val="bg-BG"/>
        </w:rPr>
        <w:t xml:space="preserve"> чуждестранн</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физическ</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лиц</w:t>
      </w:r>
      <w:r w:rsidR="00B830DB" w:rsidRPr="005571B0">
        <w:rPr>
          <w:rFonts w:ascii="Arial" w:hAnsi="Arial" w:cs="Arial"/>
          <w:sz w:val="20"/>
          <w:szCs w:val="20"/>
          <w:lang w:val="bg-BG"/>
        </w:rPr>
        <w:t>а</w:t>
      </w:r>
      <w:r w:rsidR="00E92FF2" w:rsidRPr="005571B0">
        <w:rPr>
          <w:rFonts w:ascii="Arial" w:hAnsi="Arial" w:cs="Arial"/>
          <w:sz w:val="20"/>
          <w:szCs w:val="20"/>
          <w:lang w:val="bg-BG"/>
        </w:rPr>
        <w:t xml:space="preserve">, </w:t>
      </w:r>
      <w:r w:rsidRPr="005571B0">
        <w:rPr>
          <w:rFonts w:ascii="Arial" w:hAnsi="Arial" w:cs="Arial"/>
          <w:sz w:val="20"/>
          <w:szCs w:val="20"/>
          <w:lang w:val="bg-BG"/>
        </w:rPr>
        <w:t>установен</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за данъчни цели </w:t>
      </w:r>
      <w:r w:rsidR="006B2EF8" w:rsidRPr="005571B0">
        <w:rPr>
          <w:rFonts w:ascii="Arial" w:hAnsi="Arial" w:cs="Arial"/>
          <w:sz w:val="20"/>
          <w:szCs w:val="20"/>
          <w:lang w:val="bg-BG"/>
        </w:rPr>
        <w:t>в</w:t>
      </w:r>
      <w:r w:rsidR="00E92FF2" w:rsidRPr="005571B0">
        <w:rPr>
          <w:rFonts w:ascii="Arial" w:hAnsi="Arial" w:cs="Arial"/>
          <w:sz w:val="20"/>
          <w:szCs w:val="20"/>
          <w:lang w:val="bg-BG"/>
        </w:rPr>
        <w:t xml:space="preserve"> държава – членка на Европейския съюз, или </w:t>
      </w:r>
      <w:r w:rsidR="006B2EF8" w:rsidRPr="005571B0">
        <w:rPr>
          <w:rFonts w:ascii="Arial" w:hAnsi="Arial" w:cs="Arial"/>
          <w:sz w:val="20"/>
          <w:szCs w:val="20"/>
          <w:lang w:val="bg-BG"/>
        </w:rPr>
        <w:t>в</w:t>
      </w:r>
      <w:r w:rsidR="00E92FF2" w:rsidRPr="005571B0">
        <w:rPr>
          <w:rFonts w:ascii="Arial" w:hAnsi="Arial" w:cs="Arial"/>
          <w:sz w:val="20"/>
          <w:szCs w:val="20"/>
          <w:lang w:val="bg-BG"/>
        </w:rPr>
        <w:t xml:space="preserve"> друга държава – страна по Споразумението за Европейското икономическо пространство</w:t>
      </w:r>
      <w:r w:rsidRPr="005571B0">
        <w:rPr>
          <w:rFonts w:ascii="Arial" w:hAnsi="Arial" w:cs="Arial"/>
          <w:sz w:val="20"/>
          <w:szCs w:val="20"/>
          <w:lang w:val="bg-BG"/>
        </w:rPr>
        <w:t xml:space="preserve">, </w:t>
      </w:r>
      <w:r w:rsidR="00B830DB" w:rsidRPr="005571B0">
        <w:rPr>
          <w:rFonts w:ascii="Arial" w:hAnsi="Arial" w:cs="Arial"/>
          <w:sz w:val="20"/>
          <w:szCs w:val="20"/>
          <w:lang w:val="bg-BG"/>
        </w:rPr>
        <w:t xml:space="preserve">които са </w:t>
      </w:r>
      <w:r w:rsidR="00E92FF2" w:rsidRPr="005571B0">
        <w:rPr>
          <w:rFonts w:ascii="Arial" w:hAnsi="Arial" w:cs="Arial"/>
          <w:sz w:val="20"/>
          <w:szCs w:val="20"/>
          <w:lang w:val="bg-BG"/>
        </w:rPr>
        <w:t>избрал</w:t>
      </w:r>
      <w:r w:rsidR="00B830DB" w:rsidRPr="005571B0">
        <w:rPr>
          <w:rFonts w:ascii="Arial" w:hAnsi="Arial" w:cs="Arial"/>
          <w:sz w:val="20"/>
          <w:szCs w:val="20"/>
          <w:lang w:val="bg-BG"/>
        </w:rPr>
        <w:t>и</w:t>
      </w:r>
      <w:r w:rsidR="00E92FF2" w:rsidRPr="005571B0">
        <w:rPr>
          <w:rFonts w:ascii="Arial" w:hAnsi="Arial" w:cs="Arial"/>
          <w:sz w:val="20"/>
          <w:szCs w:val="20"/>
          <w:lang w:val="bg-BG"/>
        </w:rPr>
        <w:t xml:space="preserve"> да преизчисл</w:t>
      </w:r>
      <w:r w:rsidR="00B830DB" w:rsidRPr="005571B0">
        <w:rPr>
          <w:rFonts w:ascii="Arial" w:hAnsi="Arial" w:cs="Arial"/>
          <w:sz w:val="20"/>
          <w:szCs w:val="20"/>
          <w:lang w:val="bg-BG"/>
        </w:rPr>
        <w:t>яват</w:t>
      </w:r>
      <w:r w:rsidR="00E92FF2" w:rsidRPr="005571B0">
        <w:rPr>
          <w:rFonts w:ascii="Arial" w:hAnsi="Arial" w:cs="Arial"/>
          <w:sz w:val="20"/>
          <w:szCs w:val="20"/>
          <w:lang w:val="bg-BG"/>
        </w:rPr>
        <w:t xml:space="preserve"> окончателния данък по чл. 37 от ЗДДФЛ</w:t>
      </w:r>
      <w:r w:rsidRPr="005571B0">
        <w:rPr>
          <w:rFonts w:ascii="Arial" w:hAnsi="Arial" w:cs="Arial"/>
          <w:sz w:val="20"/>
          <w:szCs w:val="20"/>
          <w:lang w:val="bg-BG"/>
        </w:rPr>
        <w:t xml:space="preserve"> за доходи</w:t>
      </w:r>
      <w:r w:rsidR="00E92FF2" w:rsidRPr="005571B0">
        <w:rPr>
          <w:rFonts w:ascii="Arial" w:hAnsi="Arial" w:cs="Arial"/>
          <w:sz w:val="20"/>
          <w:szCs w:val="20"/>
          <w:lang w:val="bg-BG"/>
        </w:rPr>
        <w:t>, придобити през година</w:t>
      </w:r>
      <w:r w:rsidRPr="005571B0">
        <w:rPr>
          <w:rFonts w:ascii="Arial" w:hAnsi="Arial" w:cs="Arial"/>
          <w:sz w:val="20"/>
          <w:szCs w:val="20"/>
          <w:lang w:val="bg-BG"/>
        </w:rPr>
        <w:t>та</w:t>
      </w:r>
      <w:r w:rsidR="00EB3C4C" w:rsidRPr="005571B0">
        <w:rPr>
          <w:rFonts w:ascii="Arial" w:hAnsi="Arial" w:cs="Arial"/>
          <w:sz w:val="20"/>
          <w:szCs w:val="20"/>
          <w:lang w:val="bg-BG"/>
        </w:rPr>
        <w:t xml:space="preserve"> като данък върху общата годишна данъчна основа</w:t>
      </w:r>
      <w:r w:rsidR="00E92FF2" w:rsidRPr="005571B0">
        <w:rPr>
          <w:rFonts w:ascii="Arial" w:hAnsi="Arial" w:cs="Arial"/>
          <w:sz w:val="20"/>
          <w:szCs w:val="20"/>
          <w:lang w:val="bg-BG"/>
        </w:rPr>
        <w:t xml:space="preserve">. </w:t>
      </w:r>
    </w:p>
    <w:p w:rsidR="00D47A0E" w:rsidRPr="005571B0" w:rsidRDefault="00FC00BF" w:rsidP="00472B93">
      <w:pPr>
        <w:jc w:val="both"/>
        <w:rPr>
          <w:rFonts w:ascii="Arial" w:hAnsi="Arial" w:cs="Arial"/>
          <w:sz w:val="20"/>
          <w:szCs w:val="20"/>
          <w:lang w:val="bg-BG"/>
        </w:rPr>
      </w:pPr>
      <w:r w:rsidRPr="005571B0">
        <w:rPr>
          <w:rFonts w:ascii="Arial" w:hAnsi="Arial" w:cs="Arial"/>
          <w:sz w:val="20"/>
          <w:szCs w:val="20"/>
          <w:lang w:val="bg-BG"/>
        </w:rPr>
        <w:t xml:space="preserve">При попълването на таблицата в Част І се </w:t>
      </w:r>
      <w:r w:rsidR="00D47A0E" w:rsidRPr="005571B0">
        <w:rPr>
          <w:rFonts w:ascii="Arial" w:hAnsi="Arial" w:cs="Arial"/>
          <w:sz w:val="20"/>
          <w:szCs w:val="20"/>
          <w:lang w:val="bg-BG"/>
        </w:rPr>
        <w:t>спазва следната последователност:</w:t>
      </w:r>
    </w:p>
    <w:p w:rsidR="00706A21" w:rsidRPr="005571B0" w:rsidRDefault="00472B93" w:rsidP="00D47A0E">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В колона 2</w:t>
      </w:r>
      <w:r w:rsidRPr="005571B0">
        <w:rPr>
          <w:rFonts w:ascii="Arial" w:hAnsi="Arial" w:cs="Arial"/>
          <w:sz w:val="20"/>
          <w:szCs w:val="20"/>
          <w:lang w:val="bg-BG"/>
        </w:rPr>
        <w:t xml:space="preserve"> </w:t>
      </w:r>
      <w:r w:rsidR="00FC00BF" w:rsidRPr="005571B0">
        <w:rPr>
          <w:rFonts w:ascii="Arial" w:hAnsi="Arial" w:cs="Arial"/>
          <w:sz w:val="20"/>
          <w:szCs w:val="20"/>
          <w:lang w:val="bg-BG"/>
        </w:rPr>
        <w:t xml:space="preserve">се </w:t>
      </w:r>
      <w:r w:rsidRPr="005571B0">
        <w:rPr>
          <w:rFonts w:ascii="Arial" w:hAnsi="Arial" w:cs="Arial"/>
          <w:sz w:val="20"/>
          <w:szCs w:val="20"/>
          <w:lang w:val="bg-BG"/>
        </w:rPr>
        <w:t>впи</w:t>
      </w:r>
      <w:r w:rsidR="00FC00BF" w:rsidRPr="005571B0">
        <w:rPr>
          <w:rFonts w:ascii="Arial" w:hAnsi="Arial" w:cs="Arial"/>
          <w:sz w:val="20"/>
          <w:szCs w:val="20"/>
          <w:lang w:val="bg-BG"/>
        </w:rPr>
        <w:t>сва</w:t>
      </w:r>
      <w:r w:rsidRPr="005571B0">
        <w:rPr>
          <w:rFonts w:ascii="Arial" w:hAnsi="Arial" w:cs="Arial"/>
          <w:sz w:val="20"/>
          <w:szCs w:val="20"/>
          <w:lang w:val="bg-BG"/>
        </w:rPr>
        <w:t xml:space="preserve"> код</w:t>
      </w:r>
      <w:r w:rsidR="00FC00BF" w:rsidRPr="005571B0">
        <w:rPr>
          <w:rFonts w:ascii="Arial" w:hAnsi="Arial" w:cs="Arial"/>
          <w:sz w:val="20"/>
          <w:szCs w:val="20"/>
          <w:lang w:val="bg-BG"/>
        </w:rPr>
        <w:t>ът</w:t>
      </w:r>
      <w:r w:rsidRPr="005571B0">
        <w:rPr>
          <w:rFonts w:ascii="Arial" w:hAnsi="Arial" w:cs="Arial"/>
          <w:sz w:val="20"/>
          <w:szCs w:val="20"/>
          <w:lang w:val="bg-BG"/>
        </w:rPr>
        <w:t xml:space="preserve"> на дохода, обложен  с окончателен данък по </w:t>
      </w:r>
      <w:r w:rsidR="00706A21" w:rsidRPr="005571B0">
        <w:rPr>
          <w:rFonts w:ascii="Arial" w:hAnsi="Arial" w:cs="Arial"/>
          <w:sz w:val="20"/>
          <w:szCs w:val="20"/>
          <w:lang w:val="bg-BG"/>
        </w:rPr>
        <w:t xml:space="preserve">реда на </w:t>
      </w:r>
      <w:r w:rsidRPr="005571B0">
        <w:rPr>
          <w:rFonts w:ascii="Arial" w:hAnsi="Arial" w:cs="Arial"/>
          <w:sz w:val="20"/>
          <w:szCs w:val="20"/>
          <w:lang w:val="bg-BG"/>
        </w:rPr>
        <w:t xml:space="preserve">чл. 37 от ЗДДФЛ, съгласно номенклатурата </w:t>
      </w:r>
      <w:r w:rsidR="00706A21" w:rsidRPr="005571B0">
        <w:rPr>
          <w:rFonts w:ascii="Arial" w:hAnsi="Arial" w:cs="Arial"/>
          <w:sz w:val="20"/>
          <w:szCs w:val="20"/>
          <w:lang w:val="bg-BG"/>
        </w:rPr>
        <w:t>под Част ІІ от приложението;</w:t>
      </w:r>
    </w:p>
    <w:p w:rsidR="00706A21" w:rsidRPr="005571B0" w:rsidRDefault="00706A21" w:rsidP="00D47A0E">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 xml:space="preserve">В колона 3 </w:t>
      </w:r>
      <w:r w:rsidR="00FC00BF" w:rsidRPr="005571B0">
        <w:rPr>
          <w:rFonts w:ascii="Arial" w:hAnsi="Arial" w:cs="Arial"/>
          <w:sz w:val="20"/>
          <w:szCs w:val="20"/>
          <w:lang w:val="bg-BG"/>
        </w:rPr>
        <w:t xml:space="preserve">се </w:t>
      </w:r>
      <w:r w:rsidRPr="005571B0">
        <w:rPr>
          <w:rFonts w:ascii="Arial" w:hAnsi="Arial" w:cs="Arial"/>
          <w:sz w:val="20"/>
          <w:szCs w:val="20"/>
          <w:lang w:val="bg-BG"/>
        </w:rPr>
        <w:t>посоч</w:t>
      </w:r>
      <w:r w:rsidR="00FC00BF" w:rsidRPr="005571B0">
        <w:rPr>
          <w:rFonts w:ascii="Arial" w:hAnsi="Arial" w:cs="Arial"/>
          <w:sz w:val="20"/>
          <w:szCs w:val="20"/>
          <w:lang w:val="bg-BG"/>
        </w:rPr>
        <w:t>ва</w:t>
      </w:r>
      <w:r w:rsidRPr="005571B0">
        <w:rPr>
          <w:rFonts w:ascii="Arial" w:hAnsi="Arial" w:cs="Arial"/>
          <w:sz w:val="20"/>
          <w:szCs w:val="20"/>
          <w:lang w:val="bg-BG"/>
        </w:rPr>
        <w:t xml:space="preserve"> размер</w:t>
      </w:r>
      <w:r w:rsidR="00FC00BF" w:rsidRPr="005571B0">
        <w:rPr>
          <w:rFonts w:ascii="Arial" w:hAnsi="Arial" w:cs="Arial"/>
          <w:sz w:val="20"/>
          <w:szCs w:val="20"/>
          <w:lang w:val="bg-BG"/>
        </w:rPr>
        <w:t xml:space="preserve">ът </w:t>
      </w:r>
      <w:r w:rsidRPr="005571B0">
        <w:rPr>
          <w:rFonts w:ascii="Arial" w:hAnsi="Arial" w:cs="Arial"/>
          <w:sz w:val="20"/>
          <w:szCs w:val="20"/>
          <w:lang w:val="bg-BG"/>
        </w:rPr>
        <w:t>на дохода от съответния вид, придобит през годината и</w:t>
      </w:r>
      <w:r w:rsidR="00FC00BF" w:rsidRPr="005571B0">
        <w:rPr>
          <w:rFonts w:ascii="Arial" w:hAnsi="Arial" w:cs="Arial"/>
          <w:sz w:val="20"/>
          <w:szCs w:val="20"/>
          <w:lang w:val="bg-BG"/>
        </w:rPr>
        <w:t xml:space="preserve"> се</w:t>
      </w:r>
      <w:r w:rsidRPr="005571B0">
        <w:rPr>
          <w:rFonts w:ascii="Arial" w:hAnsi="Arial" w:cs="Arial"/>
          <w:sz w:val="20"/>
          <w:szCs w:val="20"/>
          <w:lang w:val="bg-BG"/>
        </w:rPr>
        <w:t xml:space="preserve"> </w:t>
      </w:r>
      <w:r w:rsidRPr="005571B0">
        <w:rPr>
          <w:rFonts w:ascii="Arial" w:hAnsi="Arial" w:cs="Arial"/>
          <w:b/>
          <w:sz w:val="20"/>
          <w:szCs w:val="20"/>
          <w:lang w:val="bg-BG"/>
        </w:rPr>
        <w:t>изчисл</w:t>
      </w:r>
      <w:r w:rsidR="00FC00BF" w:rsidRPr="005571B0">
        <w:rPr>
          <w:rFonts w:ascii="Arial" w:hAnsi="Arial" w:cs="Arial"/>
          <w:b/>
          <w:sz w:val="20"/>
          <w:szCs w:val="20"/>
          <w:lang w:val="bg-BG"/>
        </w:rPr>
        <w:t xml:space="preserve">ява </w:t>
      </w:r>
      <w:r w:rsidRPr="005571B0">
        <w:rPr>
          <w:rFonts w:ascii="Arial" w:hAnsi="Arial" w:cs="Arial"/>
          <w:b/>
          <w:sz w:val="20"/>
          <w:szCs w:val="20"/>
          <w:lang w:val="bg-BG"/>
        </w:rPr>
        <w:t xml:space="preserve">обща сума </w:t>
      </w:r>
      <w:r w:rsidR="00FC00BF" w:rsidRPr="005571B0">
        <w:rPr>
          <w:rFonts w:ascii="Arial" w:hAnsi="Arial" w:cs="Arial"/>
          <w:b/>
          <w:sz w:val="20"/>
          <w:szCs w:val="20"/>
          <w:lang w:val="bg-BG"/>
        </w:rPr>
        <w:t>в</w:t>
      </w:r>
      <w:r w:rsidRPr="005571B0">
        <w:rPr>
          <w:rFonts w:ascii="Arial" w:hAnsi="Arial" w:cs="Arial"/>
          <w:b/>
          <w:sz w:val="20"/>
          <w:szCs w:val="20"/>
          <w:lang w:val="bg-BG"/>
        </w:rPr>
        <w:t xml:space="preserve"> ред 5</w:t>
      </w:r>
      <w:r w:rsidRPr="005571B0">
        <w:rPr>
          <w:rFonts w:ascii="Arial" w:hAnsi="Arial" w:cs="Arial"/>
          <w:sz w:val="20"/>
          <w:szCs w:val="20"/>
          <w:lang w:val="bg-BG"/>
        </w:rPr>
        <w:t>;</w:t>
      </w:r>
    </w:p>
    <w:p w:rsidR="00472B93" w:rsidRPr="005571B0" w:rsidRDefault="00706A21" w:rsidP="00D47A0E">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 xml:space="preserve">В колона 4 </w:t>
      </w:r>
      <w:r w:rsidR="00FC00BF" w:rsidRPr="005571B0">
        <w:rPr>
          <w:rFonts w:ascii="Arial" w:hAnsi="Arial" w:cs="Arial"/>
          <w:sz w:val="20"/>
          <w:szCs w:val="20"/>
          <w:lang w:val="bg-BG"/>
        </w:rPr>
        <w:t>се</w:t>
      </w:r>
      <w:r w:rsidR="00FC00BF" w:rsidRPr="005571B0">
        <w:rPr>
          <w:rFonts w:ascii="Arial" w:hAnsi="Arial" w:cs="Arial"/>
          <w:b/>
          <w:sz w:val="20"/>
          <w:szCs w:val="20"/>
          <w:lang w:val="bg-BG"/>
        </w:rPr>
        <w:t xml:space="preserve"> </w:t>
      </w:r>
      <w:r w:rsidRPr="005571B0">
        <w:rPr>
          <w:rFonts w:ascii="Arial" w:hAnsi="Arial" w:cs="Arial"/>
          <w:sz w:val="20"/>
          <w:szCs w:val="20"/>
          <w:lang w:val="bg-BG"/>
        </w:rPr>
        <w:t>впи</w:t>
      </w:r>
      <w:r w:rsidR="00FC00BF" w:rsidRPr="005571B0">
        <w:rPr>
          <w:rFonts w:ascii="Arial" w:hAnsi="Arial" w:cs="Arial"/>
          <w:sz w:val="20"/>
          <w:szCs w:val="20"/>
          <w:lang w:val="bg-BG"/>
        </w:rPr>
        <w:t>сва</w:t>
      </w:r>
      <w:r w:rsidRPr="005571B0">
        <w:rPr>
          <w:rFonts w:ascii="Arial" w:hAnsi="Arial" w:cs="Arial"/>
          <w:sz w:val="20"/>
          <w:szCs w:val="20"/>
          <w:lang w:val="bg-BG"/>
        </w:rPr>
        <w:t xml:space="preserve"> сумата на внесения окончателен данък за съответния вид доход по чл. 37</w:t>
      </w:r>
      <w:r w:rsidR="00472B93" w:rsidRPr="005571B0">
        <w:rPr>
          <w:rFonts w:ascii="Arial" w:hAnsi="Arial" w:cs="Arial"/>
          <w:sz w:val="20"/>
          <w:szCs w:val="20"/>
          <w:lang w:val="bg-BG"/>
        </w:rPr>
        <w:t xml:space="preserve"> </w:t>
      </w:r>
      <w:r w:rsidRPr="005571B0">
        <w:rPr>
          <w:rFonts w:ascii="Arial" w:hAnsi="Arial" w:cs="Arial"/>
          <w:sz w:val="20"/>
          <w:szCs w:val="20"/>
          <w:lang w:val="bg-BG"/>
        </w:rPr>
        <w:t xml:space="preserve">от ЗДДФЛ и </w:t>
      </w:r>
      <w:r w:rsidR="00FC00BF" w:rsidRPr="005571B0">
        <w:rPr>
          <w:rFonts w:ascii="Arial" w:hAnsi="Arial" w:cs="Arial"/>
          <w:sz w:val="20"/>
          <w:szCs w:val="20"/>
          <w:lang w:val="bg-BG"/>
        </w:rPr>
        <w:t xml:space="preserve">се </w:t>
      </w:r>
      <w:r w:rsidRPr="005571B0">
        <w:rPr>
          <w:rFonts w:ascii="Arial" w:hAnsi="Arial" w:cs="Arial"/>
          <w:b/>
          <w:sz w:val="20"/>
          <w:szCs w:val="20"/>
          <w:lang w:val="bg-BG"/>
        </w:rPr>
        <w:t>изчисл</w:t>
      </w:r>
      <w:r w:rsidR="00FC00BF" w:rsidRPr="005571B0">
        <w:rPr>
          <w:rFonts w:ascii="Arial" w:hAnsi="Arial" w:cs="Arial"/>
          <w:b/>
          <w:sz w:val="20"/>
          <w:szCs w:val="20"/>
          <w:lang w:val="bg-BG"/>
        </w:rPr>
        <w:t>ява</w:t>
      </w:r>
      <w:r w:rsidRPr="005571B0">
        <w:rPr>
          <w:rFonts w:ascii="Arial" w:hAnsi="Arial" w:cs="Arial"/>
          <w:b/>
          <w:sz w:val="20"/>
          <w:szCs w:val="20"/>
          <w:lang w:val="bg-BG"/>
        </w:rPr>
        <w:t xml:space="preserve"> обща сума </w:t>
      </w:r>
      <w:r w:rsidR="00FC00BF" w:rsidRPr="005571B0">
        <w:rPr>
          <w:rFonts w:ascii="Arial" w:hAnsi="Arial" w:cs="Arial"/>
          <w:b/>
          <w:sz w:val="20"/>
          <w:szCs w:val="20"/>
          <w:lang w:val="bg-BG"/>
        </w:rPr>
        <w:t>в</w:t>
      </w:r>
      <w:r w:rsidRPr="005571B0">
        <w:rPr>
          <w:rFonts w:ascii="Arial" w:hAnsi="Arial" w:cs="Arial"/>
          <w:b/>
          <w:sz w:val="20"/>
          <w:szCs w:val="20"/>
          <w:lang w:val="bg-BG"/>
        </w:rPr>
        <w:t xml:space="preserve"> ред 5;</w:t>
      </w:r>
    </w:p>
    <w:p w:rsidR="00472B93" w:rsidRPr="005571B0" w:rsidRDefault="00472B93" w:rsidP="00706A21">
      <w:pPr>
        <w:pStyle w:val="ListParagraph"/>
        <w:numPr>
          <w:ilvl w:val="0"/>
          <w:numId w:val="1"/>
        </w:numPr>
        <w:jc w:val="both"/>
        <w:rPr>
          <w:rFonts w:ascii="Arial" w:hAnsi="Arial" w:cs="Arial"/>
          <w:sz w:val="20"/>
          <w:szCs w:val="20"/>
          <w:lang w:val="bg-BG"/>
        </w:rPr>
      </w:pPr>
      <w:r w:rsidRPr="005571B0">
        <w:rPr>
          <w:rFonts w:ascii="Arial" w:hAnsi="Arial" w:cs="Arial"/>
          <w:b/>
          <w:sz w:val="20"/>
          <w:szCs w:val="20"/>
          <w:lang w:val="bg-BG"/>
        </w:rPr>
        <w:t xml:space="preserve">На ред 5, колона 5 </w:t>
      </w:r>
      <w:r w:rsidR="00FC00BF" w:rsidRPr="005571B0">
        <w:rPr>
          <w:rFonts w:ascii="Arial" w:hAnsi="Arial" w:cs="Arial"/>
          <w:sz w:val="20"/>
          <w:szCs w:val="20"/>
          <w:lang w:val="bg-BG"/>
        </w:rPr>
        <w:t xml:space="preserve">се </w:t>
      </w:r>
      <w:r w:rsidRPr="005571B0">
        <w:rPr>
          <w:rFonts w:ascii="Arial" w:hAnsi="Arial" w:cs="Arial"/>
          <w:sz w:val="20"/>
          <w:szCs w:val="20"/>
          <w:lang w:val="bg-BG"/>
        </w:rPr>
        <w:t>определ</w:t>
      </w:r>
      <w:r w:rsidR="00FC00BF" w:rsidRPr="005571B0">
        <w:rPr>
          <w:rFonts w:ascii="Arial" w:hAnsi="Arial" w:cs="Arial"/>
          <w:sz w:val="20"/>
          <w:szCs w:val="20"/>
          <w:lang w:val="bg-BG"/>
        </w:rPr>
        <w:t>я</w:t>
      </w:r>
      <w:r w:rsidRPr="005571B0">
        <w:rPr>
          <w:rFonts w:ascii="Arial" w:hAnsi="Arial" w:cs="Arial"/>
          <w:sz w:val="20"/>
          <w:szCs w:val="20"/>
          <w:lang w:val="bg-BG"/>
        </w:rPr>
        <w:t xml:space="preserve"> размер</w:t>
      </w:r>
      <w:r w:rsidR="00FC00BF" w:rsidRPr="005571B0">
        <w:rPr>
          <w:rFonts w:ascii="Arial" w:hAnsi="Arial" w:cs="Arial"/>
          <w:sz w:val="20"/>
          <w:szCs w:val="20"/>
          <w:lang w:val="bg-BG"/>
        </w:rPr>
        <w:t>ът</w:t>
      </w:r>
      <w:r w:rsidRPr="005571B0">
        <w:rPr>
          <w:rFonts w:ascii="Arial" w:hAnsi="Arial" w:cs="Arial"/>
          <w:sz w:val="20"/>
          <w:szCs w:val="20"/>
          <w:lang w:val="bg-BG"/>
        </w:rPr>
        <w:t xml:space="preserve"> на преизчисления данък</w:t>
      </w:r>
      <w:r w:rsidR="00706A21" w:rsidRPr="005571B0">
        <w:rPr>
          <w:rFonts w:ascii="Arial" w:hAnsi="Arial" w:cs="Arial"/>
          <w:sz w:val="20"/>
          <w:szCs w:val="20"/>
          <w:lang w:val="bg-BG"/>
        </w:rPr>
        <w:t xml:space="preserve"> – това е </w:t>
      </w:r>
      <w:r w:rsidRPr="005571B0">
        <w:rPr>
          <w:rFonts w:ascii="Arial" w:hAnsi="Arial" w:cs="Arial"/>
          <w:sz w:val="20"/>
          <w:szCs w:val="20"/>
          <w:lang w:val="bg-BG"/>
        </w:rPr>
        <w:t>данък</w:t>
      </w:r>
      <w:r w:rsidR="00FC00BF" w:rsidRPr="005571B0">
        <w:rPr>
          <w:rFonts w:ascii="Arial" w:hAnsi="Arial" w:cs="Arial"/>
          <w:sz w:val="20"/>
          <w:szCs w:val="20"/>
          <w:lang w:val="bg-BG"/>
        </w:rPr>
        <w:t>ът</w:t>
      </w:r>
      <w:r w:rsidRPr="005571B0">
        <w:rPr>
          <w:rFonts w:ascii="Arial" w:hAnsi="Arial" w:cs="Arial"/>
          <w:sz w:val="20"/>
          <w:szCs w:val="20"/>
          <w:lang w:val="bg-BG"/>
        </w:rPr>
        <w:t xml:space="preserve"> върху общата годишна данъчна основа, който би бил дължим за доходите по чл. 37 от ЗДДФЛ (ред 5, колона 3), в случай че те са придобити от местно физическо лице. За целта е необходимо да са попълнени</w:t>
      </w:r>
      <w:r w:rsidR="00FC00BF" w:rsidRPr="005571B0">
        <w:rPr>
          <w:rFonts w:ascii="Arial" w:hAnsi="Arial" w:cs="Arial"/>
          <w:sz w:val="20"/>
          <w:szCs w:val="20"/>
          <w:lang w:val="bg-BG"/>
        </w:rPr>
        <w:t xml:space="preserve"> съответните</w:t>
      </w:r>
      <w:r w:rsidRPr="005571B0">
        <w:rPr>
          <w:rFonts w:ascii="Arial" w:hAnsi="Arial" w:cs="Arial"/>
          <w:sz w:val="20"/>
          <w:szCs w:val="20"/>
          <w:lang w:val="bg-BG"/>
        </w:rPr>
        <w:t xml:space="preserve"> приложения към декларацията според вида на </w:t>
      </w:r>
      <w:r w:rsidR="00FC00BF" w:rsidRPr="005571B0">
        <w:rPr>
          <w:rFonts w:ascii="Arial" w:hAnsi="Arial" w:cs="Arial"/>
          <w:sz w:val="20"/>
          <w:szCs w:val="20"/>
          <w:lang w:val="bg-BG"/>
        </w:rPr>
        <w:t>придобития</w:t>
      </w:r>
      <w:r w:rsidRPr="005571B0">
        <w:rPr>
          <w:rFonts w:ascii="Arial" w:hAnsi="Arial" w:cs="Arial"/>
          <w:sz w:val="20"/>
          <w:szCs w:val="20"/>
          <w:lang w:val="bg-BG"/>
        </w:rPr>
        <w:t xml:space="preserve"> доход и да е формирана обща годишна данъчна основа на ред 3, Част ІV в </w:t>
      </w:r>
      <w:r w:rsidR="006B2EF8" w:rsidRPr="005571B0">
        <w:rPr>
          <w:rFonts w:ascii="Arial" w:hAnsi="Arial" w:cs="Arial"/>
          <w:sz w:val="20"/>
          <w:szCs w:val="20"/>
          <w:lang w:val="bg-BG"/>
        </w:rPr>
        <w:t>О</w:t>
      </w:r>
      <w:r w:rsidRPr="005571B0">
        <w:rPr>
          <w:rFonts w:ascii="Arial" w:hAnsi="Arial" w:cs="Arial"/>
          <w:sz w:val="20"/>
          <w:szCs w:val="20"/>
          <w:lang w:val="bg-BG"/>
        </w:rPr>
        <w:t xml:space="preserve">бразец 2001. </w:t>
      </w:r>
    </w:p>
    <w:p w:rsidR="00A11DCB" w:rsidRPr="005571B0" w:rsidRDefault="00472B93" w:rsidP="00A11DCB">
      <w:pPr>
        <w:pStyle w:val="ListParagraph"/>
        <w:numPr>
          <w:ilvl w:val="0"/>
          <w:numId w:val="1"/>
        </w:numPr>
        <w:jc w:val="both"/>
        <w:rPr>
          <w:rFonts w:ascii="Arial" w:hAnsi="Arial" w:cs="Arial"/>
          <w:b/>
          <w:sz w:val="20"/>
          <w:szCs w:val="20"/>
          <w:lang w:val="bg-BG"/>
        </w:rPr>
      </w:pPr>
      <w:r w:rsidRPr="005571B0">
        <w:rPr>
          <w:rFonts w:ascii="Arial" w:hAnsi="Arial" w:cs="Arial"/>
          <w:b/>
          <w:sz w:val="20"/>
          <w:szCs w:val="20"/>
          <w:lang w:val="bg-BG"/>
        </w:rPr>
        <w:t>На ред 5, колона 6</w:t>
      </w:r>
      <w:r w:rsidRPr="005571B0">
        <w:rPr>
          <w:rFonts w:ascii="Arial" w:hAnsi="Arial" w:cs="Arial"/>
          <w:sz w:val="20"/>
          <w:szCs w:val="20"/>
          <w:lang w:val="bg-BG"/>
        </w:rPr>
        <w:t xml:space="preserve"> </w:t>
      </w:r>
      <w:r w:rsidR="00B47BF3" w:rsidRPr="005571B0">
        <w:rPr>
          <w:rFonts w:ascii="Arial" w:hAnsi="Arial" w:cs="Arial"/>
          <w:sz w:val="20"/>
          <w:szCs w:val="20"/>
          <w:lang w:val="bg-BG"/>
        </w:rPr>
        <w:t xml:space="preserve">се </w:t>
      </w:r>
      <w:r w:rsidRPr="005571B0">
        <w:rPr>
          <w:rFonts w:ascii="Arial" w:hAnsi="Arial" w:cs="Arial"/>
          <w:sz w:val="20"/>
          <w:szCs w:val="20"/>
          <w:lang w:val="bg-BG"/>
        </w:rPr>
        <w:t>посоч</w:t>
      </w:r>
      <w:r w:rsidR="00B47BF3" w:rsidRPr="005571B0">
        <w:rPr>
          <w:rFonts w:ascii="Arial" w:hAnsi="Arial" w:cs="Arial"/>
          <w:sz w:val="20"/>
          <w:szCs w:val="20"/>
          <w:lang w:val="bg-BG"/>
        </w:rPr>
        <w:t>ва</w:t>
      </w:r>
      <w:r w:rsidRPr="005571B0">
        <w:rPr>
          <w:rFonts w:ascii="Arial" w:hAnsi="Arial" w:cs="Arial"/>
          <w:sz w:val="20"/>
          <w:szCs w:val="20"/>
          <w:lang w:val="bg-BG"/>
        </w:rPr>
        <w:t xml:space="preserve"> частта от данъка, </w:t>
      </w:r>
      <w:r w:rsidR="00A11DCB" w:rsidRPr="005571B0">
        <w:rPr>
          <w:rFonts w:ascii="Arial" w:hAnsi="Arial" w:cs="Arial"/>
          <w:sz w:val="20"/>
          <w:szCs w:val="20"/>
          <w:lang w:val="bg-BG"/>
        </w:rPr>
        <w:t>вписана</w:t>
      </w:r>
      <w:r w:rsidRPr="005571B0">
        <w:rPr>
          <w:rFonts w:ascii="Arial" w:hAnsi="Arial" w:cs="Arial"/>
          <w:sz w:val="20"/>
          <w:szCs w:val="20"/>
          <w:lang w:val="bg-BG"/>
        </w:rPr>
        <w:t xml:space="preserve"> на ред 5, колона 4, която може да бъде приспадната в държавата</w:t>
      </w:r>
      <w:r w:rsidR="00613550" w:rsidRPr="005571B0">
        <w:rPr>
          <w:rFonts w:ascii="Arial" w:hAnsi="Arial" w:cs="Arial"/>
          <w:sz w:val="20"/>
          <w:szCs w:val="20"/>
          <w:lang w:val="bg-BG"/>
        </w:rPr>
        <w:t>,</w:t>
      </w:r>
      <w:r w:rsidRPr="005571B0">
        <w:rPr>
          <w:rFonts w:ascii="Arial" w:hAnsi="Arial" w:cs="Arial"/>
          <w:sz w:val="20"/>
          <w:szCs w:val="20"/>
          <w:lang w:val="bg-BG"/>
        </w:rPr>
        <w:t xml:space="preserve"> </w:t>
      </w:r>
      <w:r w:rsidR="00A11DCB" w:rsidRPr="005571B0">
        <w:rPr>
          <w:rFonts w:ascii="Arial" w:hAnsi="Arial" w:cs="Arial"/>
          <w:sz w:val="20"/>
          <w:szCs w:val="20"/>
          <w:lang w:val="bg-BG"/>
        </w:rPr>
        <w:t xml:space="preserve">на която </w:t>
      </w:r>
      <w:r w:rsidR="00613550" w:rsidRPr="005571B0">
        <w:rPr>
          <w:rFonts w:ascii="Arial" w:hAnsi="Arial" w:cs="Arial"/>
          <w:sz w:val="20"/>
          <w:szCs w:val="20"/>
          <w:lang w:val="bg-BG"/>
        </w:rPr>
        <w:t>лицето е</w:t>
      </w:r>
      <w:r w:rsidRPr="005571B0">
        <w:rPr>
          <w:rFonts w:ascii="Arial" w:hAnsi="Arial" w:cs="Arial"/>
          <w:sz w:val="20"/>
          <w:szCs w:val="20"/>
          <w:lang w:val="bg-BG"/>
        </w:rPr>
        <w:t xml:space="preserve"> местно</w:t>
      </w:r>
      <w:r w:rsidR="00A11DCB" w:rsidRPr="005571B0">
        <w:rPr>
          <w:rFonts w:ascii="Arial" w:hAnsi="Arial" w:cs="Arial"/>
          <w:sz w:val="20"/>
          <w:szCs w:val="20"/>
          <w:lang w:val="bg-BG"/>
        </w:rPr>
        <w:t>.</w:t>
      </w:r>
    </w:p>
    <w:p w:rsidR="00472B93" w:rsidRPr="005571B0" w:rsidRDefault="00A11DCB" w:rsidP="00A11DCB">
      <w:pPr>
        <w:pStyle w:val="ListParagraph"/>
        <w:numPr>
          <w:ilvl w:val="0"/>
          <w:numId w:val="1"/>
        </w:numPr>
        <w:jc w:val="both"/>
        <w:rPr>
          <w:rFonts w:ascii="Arial" w:hAnsi="Arial" w:cs="Arial"/>
          <w:b/>
          <w:sz w:val="20"/>
          <w:szCs w:val="20"/>
          <w:lang w:val="bg-BG"/>
        </w:rPr>
      </w:pPr>
      <w:r w:rsidRPr="005571B0">
        <w:rPr>
          <w:rFonts w:ascii="Arial" w:hAnsi="Arial" w:cs="Arial"/>
          <w:b/>
          <w:sz w:val="20"/>
          <w:szCs w:val="20"/>
          <w:lang w:val="bg-BG"/>
        </w:rPr>
        <w:t>Н</w:t>
      </w:r>
      <w:r w:rsidR="00472B93" w:rsidRPr="005571B0">
        <w:rPr>
          <w:rFonts w:ascii="Arial" w:hAnsi="Arial" w:cs="Arial"/>
          <w:b/>
          <w:sz w:val="20"/>
          <w:szCs w:val="20"/>
          <w:lang w:val="bg-BG"/>
        </w:rPr>
        <w:t>а ред 5, колона 7</w:t>
      </w:r>
      <w:r w:rsidR="00472B93" w:rsidRPr="005571B0">
        <w:rPr>
          <w:rFonts w:ascii="Arial" w:hAnsi="Arial" w:cs="Arial"/>
          <w:sz w:val="20"/>
          <w:szCs w:val="20"/>
          <w:lang w:val="bg-BG"/>
        </w:rPr>
        <w:t xml:space="preserve"> </w:t>
      </w:r>
      <w:r w:rsidR="004C54E3" w:rsidRPr="005571B0">
        <w:rPr>
          <w:rFonts w:ascii="Arial" w:hAnsi="Arial" w:cs="Arial"/>
          <w:sz w:val="20"/>
          <w:szCs w:val="20"/>
          <w:lang w:val="bg-BG"/>
        </w:rPr>
        <w:t xml:space="preserve">се </w:t>
      </w:r>
      <w:r w:rsidRPr="005571B0">
        <w:rPr>
          <w:rFonts w:ascii="Arial" w:hAnsi="Arial" w:cs="Arial"/>
          <w:sz w:val="20"/>
          <w:szCs w:val="20"/>
          <w:lang w:val="bg-BG"/>
        </w:rPr>
        <w:t>изчисл</w:t>
      </w:r>
      <w:r w:rsidR="004C54E3" w:rsidRPr="005571B0">
        <w:rPr>
          <w:rFonts w:ascii="Arial" w:hAnsi="Arial" w:cs="Arial"/>
          <w:sz w:val="20"/>
          <w:szCs w:val="20"/>
          <w:lang w:val="bg-BG"/>
        </w:rPr>
        <w:t>ява</w:t>
      </w:r>
      <w:r w:rsidR="00472B93" w:rsidRPr="005571B0">
        <w:rPr>
          <w:rFonts w:ascii="Arial" w:hAnsi="Arial" w:cs="Arial"/>
          <w:sz w:val="20"/>
          <w:szCs w:val="20"/>
          <w:lang w:val="bg-BG"/>
        </w:rPr>
        <w:t xml:space="preserve"> частта</w:t>
      </w:r>
      <w:r w:rsidR="004C54E3" w:rsidRPr="005571B0">
        <w:rPr>
          <w:rFonts w:ascii="Arial" w:hAnsi="Arial" w:cs="Arial"/>
          <w:sz w:val="20"/>
          <w:szCs w:val="20"/>
          <w:lang w:val="bg-BG"/>
        </w:rPr>
        <w:t xml:space="preserve"> от данъка</w:t>
      </w:r>
      <w:r w:rsidR="00472B93" w:rsidRPr="005571B0">
        <w:rPr>
          <w:rFonts w:ascii="Arial" w:hAnsi="Arial" w:cs="Arial"/>
          <w:sz w:val="20"/>
          <w:szCs w:val="20"/>
          <w:lang w:val="bg-BG"/>
        </w:rPr>
        <w:t>, която не може да бъде приспадната в държава</w:t>
      </w:r>
      <w:r w:rsidR="00B47BF3" w:rsidRPr="005571B0">
        <w:rPr>
          <w:rFonts w:ascii="Arial" w:hAnsi="Arial" w:cs="Arial"/>
          <w:sz w:val="20"/>
          <w:szCs w:val="20"/>
          <w:lang w:val="bg-BG"/>
        </w:rPr>
        <w:t>та, на която лицето е местно</w:t>
      </w:r>
      <w:r w:rsidR="00472B93" w:rsidRPr="005571B0">
        <w:rPr>
          <w:rFonts w:ascii="Arial" w:hAnsi="Arial" w:cs="Arial"/>
          <w:sz w:val="20"/>
          <w:szCs w:val="20"/>
          <w:lang w:val="bg-BG"/>
        </w:rPr>
        <w:t>. Сборът от сумите</w:t>
      </w:r>
      <w:r w:rsidR="00472B93" w:rsidRPr="005571B0">
        <w:rPr>
          <w:rFonts w:ascii="Arial" w:hAnsi="Arial" w:cs="Arial"/>
          <w:b/>
          <w:sz w:val="20"/>
          <w:szCs w:val="20"/>
          <w:lang w:val="bg-BG"/>
        </w:rPr>
        <w:t xml:space="preserve"> </w:t>
      </w:r>
      <w:r w:rsidR="00472B93" w:rsidRPr="005571B0">
        <w:rPr>
          <w:rFonts w:ascii="Arial" w:hAnsi="Arial" w:cs="Arial"/>
          <w:sz w:val="20"/>
          <w:szCs w:val="20"/>
          <w:lang w:val="bg-BG"/>
        </w:rPr>
        <w:t xml:space="preserve">на </w:t>
      </w:r>
      <w:r w:rsidR="00472B93" w:rsidRPr="005571B0">
        <w:rPr>
          <w:rFonts w:ascii="Arial" w:hAnsi="Arial" w:cs="Arial"/>
          <w:b/>
          <w:sz w:val="20"/>
          <w:szCs w:val="20"/>
          <w:lang w:val="bg-BG"/>
        </w:rPr>
        <w:t xml:space="preserve">ред 5, колони 6 и 7 </w:t>
      </w:r>
      <w:r w:rsidR="00472B93" w:rsidRPr="005571B0">
        <w:rPr>
          <w:rFonts w:ascii="Arial" w:hAnsi="Arial" w:cs="Arial"/>
          <w:sz w:val="20"/>
          <w:szCs w:val="20"/>
          <w:lang w:val="bg-BG"/>
        </w:rPr>
        <w:t>трябва да е равен на данъка, посочен на</w:t>
      </w:r>
      <w:r w:rsidR="00472B93" w:rsidRPr="005571B0">
        <w:rPr>
          <w:rFonts w:ascii="Arial" w:hAnsi="Arial" w:cs="Arial"/>
          <w:b/>
          <w:sz w:val="20"/>
          <w:szCs w:val="20"/>
          <w:lang w:val="bg-BG"/>
        </w:rPr>
        <w:t xml:space="preserve"> ред 5 в колона 4. </w:t>
      </w:r>
    </w:p>
    <w:p w:rsidR="00462956" w:rsidRPr="005571B0" w:rsidRDefault="00472B93" w:rsidP="00A11DCB">
      <w:pPr>
        <w:pStyle w:val="ListParagraph"/>
        <w:numPr>
          <w:ilvl w:val="0"/>
          <w:numId w:val="1"/>
        </w:numPr>
        <w:jc w:val="both"/>
        <w:rPr>
          <w:rFonts w:ascii="Arial" w:hAnsi="Arial" w:cs="Arial"/>
          <w:b/>
          <w:sz w:val="20"/>
          <w:szCs w:val="20"/>
          <w:lang w:val="bg-BG"/>
        </w:rPr>
      </w:pPr>
      <w:r w:rsidRPr="005571B0">
        <w:rPr>
          <w:rFonts w:ascii="Arial" w:hAnsi="Arial" w:cs="Arial"/>
          <w:b/>
          <w:sz w:val="20"/>
          <w:szCs w:val="20"/>
          <w:lang w:val="bg-BG"/>
        </w:rPr>
        <w:t xml:space="preserve">На ред 5, колона 8 </w:t>
      </w:r>
      <w:r w:rsidR="00613550" w:rsidRPr="005571B0">
        <w:rPr>
          <w:rFonts w:ascii="Arial" w:hAnsi="Arial" w:cs="Arial"/>
          <w:sz w:val="20"/>
          <w:szCs w:val="20"/>
          <w:lang w:val="bg-BG"/>
        </w:rPr>
        <w:t>се</w:t>
      </w:r>
      <w:r w:rsidR="00613550" w:rsidRPr="005571B0">
        <w:rPr>
          <w:rFonts w:ascii="Arial" w:hAnsi="Arial" w:cs="Arial"/>
          <w:b/>
          <w:sz w:val="20"/>
          <w:szCs w:val="20"/>
          <w:lang w:val="bg-BG"/>
        </w:rPr>
        <w:t xml:space="preserve"> </w:t>
      </w:r>
      <w:r w:rsidRPr="005571B0">
        <w:rPr>
          <w:rFonts w:ascii="Arial" w:hAnsi="Arial" w:cs="Arial"/>
          <w:sz w:val="20"/>
          <w:szCs w:val="20"/>
          <w:lang w:val="bg-BG"/>
        </w:rPr>
        <w:t>посоч</w:t>
      </w:r>
      <w:r w:rsidR="00613550" w:rsidRPr="005571B0">
        <w:rPr>
          <w:rFonts w:ascii="Arial" w:hAnsi="Arial" w:cs="Arial"/>
          <w:sz w:val="20"/>
          <w:szCs w:val="20"/>
          <w:lang w:val="bg-BG"/>
        </w:rPr>
        <w:t>ва</w:t>
      </w:r>
      <w:r w:rsidRPr="005571B0">
        <w:rPr>
          <w:rFonts w:ascii="Arial" w:hAnsi="Arial" w:cs="Arial"/>
          <w:sz w:val="20"/>
          <w:szCs w:val="20"/>
          <w:lang w:val="bg-BG"/>
        </w:rPr>
        <w:t xml:space="preserve"> данък</w:t>
      </w:r>
      <w:r w:rsidR="00613550" w:rsidRPr="005571B0">
        <w:rPr>
          <w:rFonts w:ascii="Arial" w:hAnsi="Arial" w:cs="Arial"/>
          <w:sz w:val="20"/>
          <w:szCs w:val="20"/>
          <w:lang w:val="bg-BG"/>
        </w:rPr>
        <w:t>ът</w:t>
      </w:r>
      <w:r w:rsidR="00A11DCB" w:rsidRPr="005571B0">
        <w:rPr>
          <w:rFonts w:ascii="Arial" w:hAnsi="Arial" w:cs="Arial"/>
          <w:sz w:val="20"/>
          <w:szCs w:val="20"/>
          <w:lang w:val="bg-BG"/>
        </w:rPr>
        <w:t>,</w:t>
      </w:r>
      <w:r w:rsidRPr="005571B0">
        <w:rPr>
          <w:rFonts w:ascii="Arial" w:hAnsi="Arial" w:cs="Arial"/>
          <w:sz w:val="20"/>
          <w:szCs w:val="20"/>
          <w:lang w:val="bg-BG"/>
        </w:rPr>
        <w:t xml:space="preserve"> подлежащ на приспадане </w:t>
      </w:r>
      <w:r w:rsidR="00A11DCB" w:rsidRPr="005571B0">
        <w:rPr>
          <w:rFonts w:ascii="Arial" w:hAnsi="Arial" w:cs="Arial"/>
          <w:sz w:val="20"/>
          <w:szCs w:val="20"/>
          <w:lang w:val="bg-BG"/>
        </w:rPr>
        <w:t>на основание</w:t>
      </w:r>
      <w:r w:rsidRPr="005571B0">
        <w:rPr>
          <w:rFonts w:ascii="Arial" w:hAnsi="Arial" w:cs="Arial"/>
          <w:sz w:val="20"/>
          <w:szCs w:val="20"/>
          <w:lang w:val="bg-BG"/>
        </w:rPr>
        <w:t xml:space="preserve"> чл. 37а от ЗДДФЛ, формиран като сбор от сумите, посочени на ред 5 в колони 5 и 7 (преизчисленият данък и данъкът за </w:t>
      </w:r>
      <w:r w:rsidRPr="005571B0">
        <w:rPr>
          <w:rFonts w:ascii="Arial" w:hAnsi="Arial" w:cs="Arial"/>
          <w:sz w:val="20"/>
          <w:szCs w:val="20"/>
          <w:lang w:val="bg-BG"/>
        </w:rPr>
        <w:t xml:space="preserve">доходите по чл. 37 от ЗДДФЛ, който не може да бъде приспаднат в съответната държава). Тази сума не може да бъде по-голяма от сумата на внесения данък, </w:t>
      </w:r>
      <w:r w:rsidR="00613550" w:rsidRPr="005571B0">
        <w:rPr>
          <w:rFonts w:ascii="Arial" w:hAnsi="Arial" w:cs="Arial"/>
          <w:sz w:val="20"/>
          <w:szCs w:val="20"/>
          <w:lang w:val="bg-BG"/>
        </w:rPr>
        <w:t>вписан</w:t>
      </w:r>
      <w:r w:rsidRPr="005571B0">
        <w:rPr>
          <w:rFonts w:ascii="Arial" w:hAnsi="Arial" w:cs="Arial"/>
          <w:sz w:val="20"/>
          <w:szCs w:val="20"/>
          <w:lang w:val="bg-BG"/>
        </w:rPr>
        <w:t xml:space="preserve"> на ред 5 в колона</w:t>
      </w:r>
      <w:r w:rsidR="00462956" w:rsidRPr="005571B0">
        <w:rPr>
          <w:rFonts w:ascii="Arial" w:hAnsi="Arial" w:cs="Arial"/>
          <w:sz w:val="20"/>
          <w:szCs w:val="20"/>
          <w:lang w:val="bg-BG"/>
        </w:rPr>
        <w:t xml:space="preserve"> 4.</w:t>
      </w:r>
      <w:r w:rsidRPr="005571B0">
        <w:rPr>
          <w:rFonts w:ascii="Arial" w:hAnsi="Arial" w:cs="Arial"/>
          <w:sz w:val="20"/>
          <w:szCs w:val="20"/>
          <w:lang w:val="bg-BG"/>
        </w:rPr>
        <w:t xml:space="preserve"> </w:t>
      </w:r>
    </w:p>
    <w:p w:rsidR="00472B93" w:rsidRPr="005571B0" w:rsidRDefault="00613550" w:rsidP="00A11DCB">
      <w:pPr>
        <w:pStyle w:val="ListParagraph"/>
        <w:numPr>
          <w:ilvl w:val="0"/>
          <w:numId w:val="1"/>
        </w:numPr>
        <w:jc w:val="both"/>
        <w:rPr>
          <w:rFonts w:ascii="Arial" w:hAnsi="Arial" w:cs="Arial"/>
          <w:b/>
          <w:sz w:val="20"/>
          <w:szCs w:val="20"/>
          <w:lang w:val="bg-BG"/>
        </w:rPr>
      </w:pPr>
      <w:r w:rsidRPr="005571B0">
        <w:rPr>
          <w:rFonts w:ascii="Arial" w:hAnsi="Arial" w:cs="Arial"/>
          <w:sz w:val="20"/>
          <w:szCs w:val="20"/>
          <w:lang w:val="bg-BG"/>
        </w:rPr>
        <w:t>С</w:t>
      </w:r>
      <w:r w:rsidR="00472B93" w:rsidRPr="005571B0">
        <w:rPr>
          <w:rFonts w:ascii="Arial" w:hAnsi="Arial" w:cs="Arial"/>
          <w:sz w:val="20"/>
          <w:szCs w:val="20"/>
          <w:lang w:val="bg-BG"/>
        </w:rPr>
        <w:t>умата</w:t>
      </w:r>
      <w:r w:rsidRPr="005571B0">
        <w:rPr>
          <w:rFonts w:ascii="Arial" w:hAnsi="Arial" w:cs="Arial"/>
          <w:sz w:val="20"/>
          <w:szCs w:val="20"/>
          <w:lang w:val="bg-BG"/>
        </w:rPr>
        <w:t xml:space="preserve"> на</w:t>
      </w:r>
      <w:r w:rsidR="00472B93" w:rsidRPr="005571B0">
        <w:rPr>
          <w:rFonts w:ascii="Arial" w:hAnsi="Arial" w:cs="Arial"/>
          <w:b/>
          <w:sz w:val="20"/>
          <w:szCs w:val="20"/>
          <w:lang w:val="bg-BG"/>
        </w:rPr>
        <w:t xml:space="preserve"> ред 5</w:t>
      </w:r>
      <w:r w:rsidR="00462956" w:rsidRPr="005571B0">
        <w:rPr>
          <w:rFonts w:ascii="Arial" w:hAnsi="Arial" w:cs="Arial"/>
          <w:b/>
          <w:sz w:val="20"/>
          <w:szCs w:val="20"/>
          <w:lang w:val="bg-BG"/>
        </w:rPr>
        <w:t>,</w:t>
      </w:r>
      <w:r w:rsidR="00472B93" w:rsidRPr="005571B0">
        <w:rPr>
          <w:rFonts w:ascii="Arial" w:hAnsi="Arial" w:cs="Arial"/>
          <w:b/>
          <w:sz w:val="20"/>
          <w:szCs w:val="20"/>
          <w:lang w:val="bg-BG"/>
        </w:rPr>
        <w:t xml:space="preserve"> колона 8</w:t>
      </w:r>
      <w:r w:rsidR="00A93260" w:rsidRPr="005571B0">
        <w:rPr>
          <w:rFonts w:ascii="Arial" w:hAnsi="Arial" w:cs="Arial"/>
          <w:b/>
          <w:sz w:val="20"/>
          <w:szCs w:val="20"/>
          <w:lang w:val="bg-BG"/>
        </w:rPr>
        <w:t xml:space="preserve"> в Част І</w:t>
      </w:r>
      <w:r w:rsidR="00472B93" w:rsidRPr="005571B0">
        <w:rPr>
          <w:rFonts w:ascii="Arial" w:hAnsi="Arial" w:cs="Arial"/>
          <w:b/>
          <w:sz w:val="20"/>
          <w:szCs w:val="20"/>
          <w:lang w:val="bg-BG"/>
        </w:rPr>
        <w:t xml:space="preserve"> </w:t>
      </w:r>
      <w:r w:rsidRPr="005571B0">
        <w:rPr>
          <w:rFonts w:ascii="Arial" w:hAnsi="Arial" w:cs="Arial"/>
          <w:sz w:val="20"/>
          <w:szCs w:val="20"/>
          <w:lang w:val="bg-BG"/>
        </w:rPr>
        <w:t xml:space="preserve">се пренася </w:t>
      </w:r>
      <w:r w:rsidR="00462956" w:rsidRPr="005571B0">
        <w:rPr>
          <w:rFonts w:ascii="Arial" w:hAnsi="Arial" w:cs="Arial"/>
          <w:sz w:val="20"/>
          <w:szCs w:val="20"/>
          <w:lang w:val="bg-BG"/>
        </w:rPr>
        <w:t>на</w:t>
      </w:r>
      <w:r w:rsidR="00472B93" w:rsidRPr="005571B0">
        <w:rPr>
          <w:rFonts w:ascii="Arial" w:hAnsi="Arial" w:cs="Arial"/>
          <w:b/>
          <w:sz w:val="20"/>
          <w:szCs w:val="20"/>
          <w:lang w:val="bg-BG"/>
        </w:rPr>
        <w:t xml:space="preserve"> ред </w:t>
      </w:r>
      <w:r w:rsidR="00423280" w:rsidRPr="005571B0">
        <w:rPr>
          <w:rFonts w:ascii="Arial" w:hAnsi="Arial" w:cs="Arial"/>
          <w:b/>
          <w:sz w:val="20"/>
          <w:szCs w:val="20"/>
          <w:lang w:val="bg-BG"/>
        </w:rPr>
        <w:t>6</w:t>
      </w:r>
      <w:r w:rsidRPr="005571B0">
        <w:rPr>
          <w:rFonts w:ascii="Arial" w:hAnsi="Arial" w:cs="Arial"/>
          <w:b/>
          <w:sz w:val="20"/>
          <w:szCs w:val="20"/>
          <w:lang w:val="bg-BG"/>
        </w:rPr>
        <w:t>,</w:t>
      </w:r>
      <w:r w:rsidR="00472B93" w:rsidRPr="005571B0">
        <w:rPr>
          <w:rFonts w:ascii="Arial" w:hAnsi="Arial" w:cs="Arial"/>
          <w:b/>
          <w:sz w:val="20"/>
          <w:szCs w:val="20"/>
          <w:lang w:val="bg-BG"/>
        </w:rPr>
        <w:t xml:space="preserve"> Част ІV</w:t>
      </w:r>
      <w:r w:rsidRPr="005571B0">
        <w:rPr>
          <w:rFonts w:ascii="Arial" w:hAnsi="Arial" w:cs="Arial"/>
          <w:b/>
          <w:sz w:val="20"/>
          <w:szCs w:val="20"/>
          <w:lang w:val="bg-BG"/>
        </w:rPr>
        <w:t xml:space="preserve"> </w:t>
      </w:r>
      <w:r w:rsidR="006B2EF8" w:rsidRPr="005571B0">
        <w:rPr>
          <w:rFonts w:ascii="Arial" w:hAnsi="Arial" w:cs="Arial"/>
          <w:b/>
          <w:sz w:val="20"/>
          <w:szCs w:val="20"/>
          <w:lang w:val="bg-BG"/>
        </w:rPr>
        <w:t>в</w:t>
      </w:r>
      <w:r w:rsidR="00472B93" w:rsidRPr="005571B0">
        <w:rPr>
          <w:rFonts w:ascii="Arial" w:hAnsi="Arial" w:cs="Arial"/>
          <w:b/>
          <w:sz w:val="20"/>
          <w:szCs w:val="20"/>
          <w:lang w:val="bg-BG"/>
        </w:rPr>
        <w:t xml:space="preserve"> </w:t>
      </w:r>
      <w:r w:rsidR="006B2EF8" w:rsidRPr="005571B0">
        <w:rPr>
          <w:rFonts w:ascii="Arial" w:hAnsi="Arial" w:cs="Arial"/>
          <w:b/>
          <w:sz w:val="20"/>
          <w:szCs w:val="20"/>
          <w:lang w:val="bg-BG"/>
        </w:rPr>
        <w:t>О</w:t>
      </w:r>
      <w:r w:rsidR="00472B93" w:rsidRPr="005571B0">
        <w:rPr>
          <w:rFonts w:ascii="Arial" w:hAnsi="Arial" w:cs="Arial"/>
          <w:b/>
          <w:sz w:val="20"/>
          <w:szCs w:val="20"/>
          <w:lang w:val="bg-BG"/>
        </w:rPr>
        <w:t xml:space="preserve">бразец 2001.  </w:t>
      </w:r>
    </w:p>
    <w:p w:rsidR="00A93260" w:rsidRPr="005571B0" w:rsidRDefault="00A93260" w:rsidP="00A93260">
      <w:pPr>
        <w:pStyle w:val="ListParagraph"/>
        <w:numPr>
          <w:ilvl w:val="0"/>
          <w:numId w:val="1"/>
        </w:numPr>
        <w:jc w:val="both"/>
        <w:rPr>
          <w:rFonts w:ascii="Arial" w:hAnsi="Arial" w:cs="Arial"/>
          <w:b/>
          <w:sz w:val="20"/>
          <w:szCs w:val="20"/>
          <w:lang w:val="bg-BG"/>
        </w:rPr>
      </w:pPr>
      <w:r w:rsidRPr="005571B0">
        <w:rPr>
          <w:rFonts w:ascii="Arial" w:hAnsi="Arial" w:cs="Arial"/>
          <w:sz w:val="20"/>
          <w:szCs w:val="20"/>
          <w:lang w:val="bg-BG"/>
        </w:rPr>
        <w:t>Сумата на</w:t>
      </w:r>
      <w:r w:rsidRPr="005571B0">
        <w:rPr>
          <w:rFonts w:ascii="Arial" w:hAnsi="Arial" w:cs="Arial"/>
          <w:b/>
          <w:sz w:val="20"/>
          <w:szCs w:val="20"/>
          <w:lang w:val="bg-BG"/>
        </w:rPr>
        <w:t xml:space="preserve"> ред 5, колона 8 в Част ІІ </w:t>
      </w:r>
      <w:r w:rsidRPr="005571B0">
        <w:rPr>
          <w:rFonts w:ascii="Arial" w:hAnsi="Arial" w:cs="Arial"/>
          <w:sz w:val="20"/>
          <w:szCs w:val="20"/>
          <w:lang w:val="bg-BG"/>
        </w:rPr>
        <w:t>се пренася</w:t>
      </w:r>
      <w:r w:rsidRPr="005571B0">
        <w:rPr>
          <w:rFonts w:ascii="Arial" w:hAnsi="Arial" w:cs="Arial"/>
          <w:b/>
          <w:sz w:val="20"/>
          <w:szCs w:val="20"/>
          <w:lang w:val="bg-BG"/>
        </w:rPr>
        <w:t xml:space="preserve"> на ред 1</w:t>
      </w:r>
      <w:r w:rsidR="006B2EF8" w:rsidRPr="005571B0">
        <w:rPr>
          <w:rFonts w:ascii="Arial" w:hAnsi="Arial" w:cs="Arial"/>
          <w:b/>
          <w:sz w:val="20"/>
          <w:szCs w:val="20"/>
          <w:lang w:val="bg-BG"/>
        </w:rPr>
        <w:t>4</w:t>
      </w:r>
      <w:r w:rsidRPr="005571B0">
        <w:rPr>
          <w:rFonts w:ascii="Arial" w:hAnsi="Arial" w:cs="Arial"/>
          <w:b/>
          <w:sz w:val="20"/>
          <w:szCs w:val="20"/>
          <w:lang w:val="bg-BG"/>
        </w:rPr>
        <w:t xml:space="preserve">, Част ІV </w:t>
      </w:r>
      <w:r w:rsidR="006B2EF8" w:rsidRPr="005571B0">
        <w:rPr>
          <w:rFonts w:ascii="Arial" w:hAnsi="Arial" w:cs="Arial"/>
          <w:b/>
          <w:sz w:val="20"/>
          <w:szCs w:val="20"/>
          <w:lang w:val="bg-BG"/>
        </w:rPr>
        <w:t xml:space="preserve">в </w:t>
      </w:r>
      <w:r w:rsidRPr="005571B0">
        <w:rPr>
          <w:rFonts w:ascii="Arial" w:hAnsi="Arial" w:cs="Arial"/>
          <w:b/>
          <w:sz w:val="20"/>
          <w:szCs w:val="20"/>
          <w:lang w:val="bg-BG"/>
        </w:rPr>
        <w:t>Приложение № 2 (</w:t>
      </w:r>
      <w:r w:rsidR="006B2EF8" w:rsidRPr="005571B0">
        <w:rPr>
          <w:rFonts w:ascii="Arial" w:hAnsi="Arial" w:cs="Arial"/>
          <w:b/>
          <w:sz w:val="20"/>
          <w:szCs w:val="20"/>
          <w:lang w:val="bg-BG"/>
        </w:rPr>
        <w:t>О</w:t>
      </w:r>
      <w:r w:rsidRPr="005571B0">
        <w:rPr>
          <w:rFonts w:ascii="Arial" w:hAnsi="Arial" w:cs="Arial"/>
          <w:b/>
          <w:sz w:val="20"/>
          <w:szCs w:val="20"/>
          <w:lang w:val="bg-BG"/>
        </w:rPr>
        <w:t xml:space="preserve">бразец 2021).  </w:t>
      </w:r>
    </w:p>
    <w:p w:rsidR="00A93260" w:rsidRPr="005571B0" w:rsidRDefault="00A93260" w:rsidP="00A93260">
      <w:pPr>
        <w:ind w:left="360"/>
        <w:jc w:val="both"/>
        <w:rPr>
          <w:rFonts w:ascii="Arial" w:hAnsi="Arial" w:cs="Arial"/>
          <w:b/>
          <w:sz w:val="20"/>
          <w:szCs w:val="20"/>
          <w:lang w:val="bg-BG"/>
        </w:rPr>
      </w:pPr>
    </w:p>
    <w:p w:rsidR="00D47A0E" w:rsidRPr="005571B0" w:rsidRDefault="00D47A0E" w:rsidP="00472B93">
      <w:pPr>
        <w:rPr>
          <w:rFonts w:ascii="Arial" w:hAnsi="Arial" w:cs="Arial"/>
          <w:sz w:val="20"/>
          <w:szCs w:val="20"/>
          <w:lang w:val="bg-BG"/>
        </w:rPr>
      </w:pPr>
    </w:p>
    <w:p w:rsidR="00FE2AB6" w:rsidRPr="005571B0" w:rsidRDefault="00EB3C4C" w:rsidP="003908C6">
      <w:pPr>
        <w:ind w:firstLine="360"/>
        <w:jc w:val="both"/>
        <w:rPr>
          <w:rFonts w:ascii="Arial" w:hAnsi="Arial" w:cs="Arial"/>
          <w:sz w:val="20"/>
          <w:szCs w:val="20"/>
          <w:lang w:val="bg-BG"/>
        </w:rPr>
      </w:pPr>
      <w:r w:rsidRPr="005571B0">
        <w:rPr>
          <w:rFonts w:ascii="Arial" w:hAnsi="Arial" w:cs="Arial"/>
          <w:b/>
          <w:sz w:val="20"/>
          <w:szCs w:val="20"/>
          <w:lang w:val="bg-BG"/>
        </w:rPr>
        <w:t>Част ІІ</w:t>
      </w:r>
      <w:r w:rsidRPr="005571B0">
        <w:rPr>
          <w:rFonts w:ascii="Arial" w:hAnsi="Arial" w:cs="Arial"/>
          <w:sz w:val="20"/>
          <w:szCs w:val="20"/>
          <w:lang w:val="bg-BG"/>
        </w:rPr>
        <w:t xml:space="preserve"> се попълва от чуждестранни физически лица, установени за данъчни цели </w:t>
      </w:r>
      <w:r w:rsidR="006B2EF8" w:rsidRPr="005571B0">
        <w:rPr>
          <w:rFonts w:ascii="Arial" w:hAnsi="Arial" w:cs="Arial"/>
          <w:sz w:val="20"/>
          <w:szCs w:val="20"/>
          <w:lang w:val="bg-BG"/>
        </w:rPr>
        <w:t>в</w:t>
      </w:r>
      <w:r w:rsidRPr="005571B0">
        <w:rPr>
          <w:rFonts w:ascii="Arial" w:hAnsi="Arial" w:cs="Arial"/>
          <w:sz w:val="20"/>
          <w:szCs w:val="20"/>
          <w:lang w:val="bg-BG"/>
        </w:rPr>
        <w:t xml:space="preserve"> държава – членка на Европейския съюз, или </w:t>
      </w:r>
      <w:r w:rsidR="006B2EF8" w:rsidRPr="005571B0">
        <w:rPr>
          <w:rFonts w:ascii="Arial" w:hAnsi="Arial" w:cs="Arial"/>
          <w:sz w:val="20"/>
          <w:szCs w:val="20"/>
          <w:lang w:val="bg-BG"/>
        </w:rPr>
        <w:t>в</w:t>
      </w:r>
      <w:r w:rsidRPr="005571B0">
        <w:rPr>
          <w:rFonts w:ascii="Arial" w:hAnsi="Arial" w:cs="Arial"/>
          <w:sz w:val="20"/>
          <w:szCs w:val="20"/>
          <w:lang w:val="bg-BG"/>
        </w:rPr>
        <w:t xml:space="preserve"> друга държава – страна по Споразумението за Европейското икономическо пространство, които са избрали да преизчисляват окончателния данък по чл. 37 от ЗДДФЛ за доходи, придобити през годината като данък върху годишната данъчна основа по чл. 28</w:t>
      </w:r>
      <w:r w:rsidR="006B2EF8" w:rsidRPr="005571B0">
        <w:rPr>
          <w:rFonts w:ascii="Arial" w:hAnsi="Arial" w:cs="Arial"/>
          <w:sz w:val="20"/>
          <w:szCs w:val="20"/>
          <w:lang w:val="bg-BG"/>
        </w:rPr>
        <w:t xml:space="preserve"> от ЗДДФЛ</w:t>
      </w:r>
      <w:r w:rsidRPr="005571B0">
        <w:rPr>
          <w:rFonts w:ascii="Arial" w:hAnsi="Arial" w:cs="Arial"/>
          <w:sz w:val="20"/>
          <w:szCs w:val="20"/>
          <w:lang w:val="bg-BG"/>
        </w:rPr>
        <w:t xml:space="preserve">. </w:t>
      </w:r>
    </w:p>
    <w:p w:rsidR="00D47A0E" w:rsidRPr="005571B0" w:rsidRDefault="00EB3C4C" w:rsidP="002B1D6F">
      <w:pPr>
        <w:ind w:firstLine="360"/>
        <w:jc w:val="both"/>
        <w:rPr>
          <w:rFonts w:ascii="Arial" w:hAnsi="Arial" w:cs="Arial"/>
          <w:sz w:val="20"/>
          <w:szCs w:val="20"/>
          <w:lang w:val="bg-BG"/>
        </w:rPr>
      </w:pPr>
      <w:r w:rsidRPr="005571B0">
        <w:rPr>
          <w:rFonts w:ascii="Arial" w:hAnsi="Arial" w:cs="Arial"/>
          <w:sz w:val="20"/>
          <w:szCs w:val="20"/>
          <w:lang w:val="bg-BG"/>
        </w:rPr>
        <w:t>При попълване</w:t>
      </w:r>
      <w:r w:rsidR="00FE2AB6" w:rsidRPr="005571B0">
        <w:rPr>
          <w:rFonts w:ascii="Arial" w:hAnsi="Arial" w:cs="Arial"/>
          <w:sz w:val="20"/>
          <w:szCs w:val="20"/>
          <w:lang w:val="bg-BG"/>
        </w:rPr>
        <w:t>то</w:t>
      </w:r>
      <w:r w:rsidRPr="005571B0">
        <w:rPr>
          <w:rFonts w:ascii="Arial" w:hAnsi="Arial" w:cs="Arial"/>
          <w:sz w:val="20"/>
          <w:szCs w:val="20"/>
          <w:lang w:val="bg-BG"/>
        </w:rPr>
        <w:t xml:space="preserve"> на </w:t>
      </w:r>
      <w:r w:rsidR="00FE2AB6" w:rsidRPr="005571B0">
        <w:rPr>
          <w:rFonts w:ascii="Arial" w:hAnsi="Arial" w:cs="Arial"/>
          <w:sz w:val="20"/>
          <w:szCs w:val="20"/>
          <w:lang w:val="bg-BG"/>
        </w:rPr>
        <w:t>данните в таблицата</w:t>
      </w:r>
      <w:r w:rsidRPr="005571B0">
        <w:rPr>
          <w:rFonts w:ascii="Arial" w:hAnsi="Arial" w:cs="Arial"/>
          <w:sz w:val="20"/>
          <w:szCs w:val="20"/>
          <w:lang w:val="bg-BG"/>
        </w:rPr>
        <w:t xml:space="preserve"> се прилага последователността, описана по-горе за Част І.</w:t>
      </w:r>
    </w:p>
    <w:p w:rsidR="00D47A0E" w:rsidRPr="005571B0" w:rsidRDefault="00D47A0E" w:rsidP="00472B93">
      <w:pPr>
        <w:rPr>
          <w:rFonts w:ascii="Arial" w:hAnsi="Arial" w:cs="Arial"/>
          <w:i/>
          <w:sz w:val="16"/>
          <w:szCs w:val="16"/>
          <w:lang w:val="bg-BG"/>
        </w:rPr>
      </w:pPr>
    </w:p>
    <w:p w:rsidR="00D47A0E" w:rsidRPr="005571B0" w:rsidRDefault="006B2EF8" w:rsidP="003908C6">
      <w:pPr>
        <w:ind w:firstLine="426"/>
        <w:jc w:val="both"/>
        <w:rPr>
          <w:rFonts w:ascii="Arial" w:hAnsi="Arial" w:cs="Arial"/>
          <w:sz w:val="20"/>
          <w:szCs w:val="20"/>
          <w:lang w:val="bg-BG"/>
        </w:rPr>
      </w:pPr>
      <w:r w:rsidRPr="005571B0">
        <w:rPr>
          <w:rFonts w:ascii="Arial" w:hAnsi="Arial" w:cs="Arial"/>
          <w:sz w:val="20"/>
          <w:szCs w:val="20"/>
          <w:lang w:val="bg-BG"/>
        </w:rPr>
        <w:t>Физическите л</w:t>
      </w:r>
      <w:r w:rsidR="00D47A0E" w:rsidRPr="005571B0">
        <w:rPr>
          <w:rFonts w:ascii="Arial" w:hAnsi="Arial" w:cs="Arial"/>
          <w:sz w:val="20"/>
          <w:szCs w:val="20"/>
          <w:lang w:val="bg-BG"/>
        </w:rPr>
        <w:t xml:space="preserve">ица, които са местни за данъчни цели на държава – страна по Споразумението за </w:t>
      </w:r>
      <w:r w:rsidR="00833675" w:rsidRPr="005571B0">
        <w:rPr>
          <w:rFonts w:ascii="Arial" w:hAnsi="Arial" w:cs="Arial"/>
          <w:sz w:val="20"/>
          <w:szCs w:val="20"/>
          <w:lang w:val="bg-BG"/>
        </w:rPr>
        <w:t>Европейското икономическо пространство</w:t>
      </w:r>
      <w:r w:rsidR="00D47A0E" w:rsidRPr="005571B0">
        <w:rPr>
          <w:rFonts w:ascii="Arial" w:hAnsi="Arial" w:cs="Arial"/>
          <w:sz w:val="20"/>
          <w:szCs w:val="20"/>
          <w:lang w:val="bg-BG"/>
        </w:rPr>
        <w:t>, която не е държава – членка на Е</w:t>
      </w:r>
      <w:r w:rsidR="00833675" w:rsidRPr="005571B0">
        <w:rPr>
          <w:rFonts w:ascii="Arial" w:hAnsi="Arial" w:cs="Arial"/>
          <w:sz w:val="20"/>
          <w:szCs w:val="20"/>
          <w:lang w:val="bg-BG"/>
        </w:rPr>
        <w:t>вропейския съюз</w:t>
      </w:r>
      <w:r w:rsidR="00D47A0E" w:rsidRPr="005571B0">
        <w:rPr>
          <w:rFonts w:ascii="Arial" w:hAnsi="Arial" w:cs="Arial"/>
          <w:sz w:val="20"/>
          <w:szCs w:val="20"/>
          <w:lang w:val="bg-BG"/>
        </w:rPr>
        <w:t xml:space="preserve">, </w:t>
      </w:r>
      <w:r w:rsidR="00442106" w:rsidRPr="005571B0">
        <w:rPr>
          <w:rFonts w:ascii="Arial" w:hAnsi="Arial" w:cs="Arial"/>
          <w:sz w:val="20"/>
          <w:szCs w:val="20"/>
          <w:lang w:val="bg-BG"/>
        </w:rPr>
        <w:t xml:space="preserve">но </w:t>
      </w:r>
      <w:r w:rsidR="00D47A0E" w:rsidRPr="005571B0">
        <w:rPr>
          <w:rFonts w:ascii="Arial" w:hAnsi="Arial" w:cs="Arial"/>
          <w:sz w:val="20"/>
          <w:szCs w:val="20"/>
          <w:lang w:val="bg-BG"/>
        </w:rPr>
        <w:t xml:space="preserve">с която </w:t>
      </w:r>
      <w:r w:rsidR="00833675" w:rsidRPr="005571B0">
        <w:rPr>
          <w:rFonts w:ascii="Arial" w:hAnsi="Arial" w:cs="Arial"/>
          <w:sz w:val="20"/>
          <w:szCs w:val="20"/>
          <w:lang w:val="bg-BG"/>
        </w:rPr>
        <w:t xml:space="preserve">Република </w:t>
      </w:r>
      <w:r w:rsidR="00D47A0E" w:rsidRPr="005571B0">
        <w:rPr>
          <w:rFonts w:ascii="Arial" w:hAnsi="Arial" w:cs="Arial"/>
          <w:sz w:val="20"/>
          <w:szCs w:val="20"/>
          <w:lang w:val="bg-BG"/>
        </w:rPr>
        <w:t xml:space="preserve">България няма влязла в сила </w:t>
      </w:r>
      <w:r w:rsidR="00833675" w:rsidRPr="005571B0">
        <w:rPr>
          <w:rFonts w:ascii="Arial" w:hAnsi="Arial" w:cs="Arial"/>
          <w:sz w:val="20"/>
          <w:szCs w:val="20"/>
          <w:lang w:val="bg-BG"/>
        </w:rPr>
        <w:t>Спогодба за избягване на двойното данъчно облагане (</w:t>
      </w:r>
      <w:r w:rsidR="00D47A0E" w:rsidRPr="005571B0">
        <w:rPr>
          <w:rFonts w:ascii="Arial" w:hAnsi="Arial" w:cs="Arial"/>
          <w:sz w:val="20"/>
          <w:szCs w:val="20"/>
          <w:lang w:val="bg-BG"/>
        </w:rPr>
        <w:t>СИДДО</w:t>
      </w:r>
      <w:r w:rsidR="00833675" w:rsidRPr="005571B0">
        <w:rPr>
          <w:rFonts w:ascii="Arial" w:hAnsi="Arial" w:cs="Arial"/>
          <w:sz w:val="20"/>
          <w:szCs w:val="20"/>
          <w:lang w:val="bg-BG"/>
        </w:rPr>
        <w:t>)</w:t>
      </w:r>
      <w:r w:rsidR="00D47A0E" w:rsidRPr="005571B0">
        <w:rPr>
          <w:rFonts w:ascii="Arial" w:hAnsi="Arial" w:cs="Arial"/>
          <w:sz w:val="20"/>
          <w:szCs w:val="20"/>
          <w:lang w:val="bg-BG"/>
        </w:rPr>
        <w:t xml:space="preserve"> или има влязла в сила</w:t>
      </w:r>
      <w:r w:rsidR="00833675" w:rsidRPr="005571B0">
        <w:rPr>
          <w:rFonts w:ascii="Arial" w:hAnsi="Arial" w:cs="Arial"/>
          <w:sz w:val="20"/>
          <w:szCs w:val="20"/>
          <w:lang w:val="bg-BG"/>
        </w:rPr>
        <w:t xml:space="preserve"> СИДДО, в която не е предвиден </w:t>
      </w:r>
      <w:r w:rsidR="00D47A0E" w:rsidRPr="005571B0">
        <w:rPr>
          <w:rFonts w:ascii="Arial" w:hAnsi="Arial" w:cs="Arial"/>
          <w:sz w:val="20"/>
          <w:szCs w:val="20"/>
          <w:lang w:val="bg-BG"/>
        </w:rPr>
        <w:t>обмен на информация или сътрудничество при събирането на данъци</w:t>
      </w:r>
      <w:r w:rsidR="00442106" w:rsidRPr="005571B0">
        <w:rPr>
          <w:rFonts w:ascii="Arial" w:hAnsi="Arial" w:cs="Arial"/>
          <w:sz w:val="20"/>
          <w:szCs w:val="20"/>
          <w:lang w:val="bg-BG"/>
        </w:rPr>
        <w:t>,</w:t>
      </w:r>
      <w:r w:rsidR="00D47A0E" w:rsidRPr="005571B0">
        <w:rPr>
          <w:rFonts w:ascii="Arial" w:hAnsi="Arial" w:cs="Arial"/>
          <w:sz w:val="20"/>
          <w:szCs w:val="20"/>
          <w:lang w:val="bg-BG"/>
        </w:rPr>
        <w:t xml:space="preserve"> нямат право да преизчисляват окончателния данък за доходи по чл. 37 от ЗДДФЛ.</w:t>
      </w:r>
    </w:p>
    <w:p w:rsidR="00FC00BF" w:rsidRPr="005571B0" w:rsidRDefault="00FC00BF" w:rsidP="00EB3C4C">
      <w:pPr>
        <w:jc w:val="both"/>
        <w:rPr>
          <w:rFonts w:ascii="Arial" w:hAnsi="Arial" w:cs="Arial"/>
          <w:sz w:val="20"/>
          <w:szCs w:val="20"/>
          <w:lang w:val="bg-BG"/>
        </w:rPr>
      </w:pPr>
    </w:p>
    <w:p w:rsidR="00FC00BF" w:rsidRPr="005571B0" w:rsidRDefault="00C82CFD" w:rsidP="00C82CFD">
      <w:pPr>
        <w:ind w:firstLine="426"/>
        <w:jc w:val="both"/>
        <w:rPr>
          <w:rFonts w:ascii="Arial" w:hAnsi="Arial" w:cs="Arial"/>
          <w:sz w:val="20"/>
          <w:szCs w:val="20"/>
          <w:lang w:val="bg-BG"/>
        </w:rPr>
      </w:pPr>
      <w:r w:rsidRPr="005571B0">
        <w:rPr>
          <w:rFonts w:ascii="Arial" w:hAnsi="Arial" w:cs="Arial"/>
          <w:sz w:val="20"/>
          <w:szCs w:val="20"/>
          <w:lang w:val="bg-BG"/>
        </w:rPr>
        <w:t xml:space="preserve">При попълването на </w:t>
      </w:r>
      <w:r w:rsidRPr="005571B0">
        <w:rPr>
          <w:rFonts w:ascii="Arial" w:hAnsi="Arial" w:cs="Arial"/>
          <w:b/>
          <w:sz w:val="20"/>
          <w:szCs w:val="20"/>
          <w:lang w:val="bg-BG"/>
        </w:rPr>
        <w:t>ред 4, Част ІV в образец 2001</w:t>
      </w:r>
      <w:r w:rsidRPr="005571B0">
        <w:rPr>
          <w:rFonts w:ascii="Arial" w:hAnsi="Arial" w:cs="Arial"/>
          <w:sz w:val="20"/>
          <w:szCs w:val="20"/>
          <w:lang w:val="bg-BG"/>
        </w:rPr>
        <w:t xml:space="preserve"> и </w:t>
      </w:r>
      <w:r w:rsidRPr="005571B0">
        <w:rPr>
          <w:rFonts w:ascii="Arial" w:hAnsi="Arial" w:cs="Arial"/>
          <w:b/>
          <w:sz w:val="20"/>
          <w:szCs w:val="20"/>
          <w:lang w:val="bg-BG"/>
        </w:rPr>
        <w:t xml:space="preserve">ред </w:t>
      </w:r>
      <w:r w:rsidR="00C32A69" w:rsidRPr="005571B0">
        <w:rPr>
          <w:rFonts w:ascii="Arial" w:hAnsi="Arial" w:cs="Arial"/>
          <w:b/>
          <w:sz w:val="20"/>
          <w:szCs w:val="20"/>
          <w:lang w:val="bg-BG"/>
        </w:rPr>
        <w:t xml:space="preserve">7, Част ІV в образец 2021 </w:t>
      </w:r>
      <w:r w:rsidR="00C32A69" w:rsidRPr="005571B0">
        <w:rPr>
          <w:rFonts w:ascii="Arial" w:hAnsi="Arial" w:cs="Arial"/>
          <w:sz w:val="20"/>
          <w:szCs w:val="20"/>
          <w:lang w:val="bg-BG"/>
        </w:rPr>
        <w:t>следва да се има предвид, че когато в съответната СИДДО е предвидена по-ниска данъчна ставка за конкретен вид доход, данъкът за този доход се изчислява според предвиденото в СИДДО.</w:t>
      </w:r>
    </w:p>
    <w:sectPr w:rsidR="00FC00BF" w:rsidRPr="005571B0" w:rsidSect="00F45B02">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4A1" w:rsidRDefault="000A44A1" w:rsidP="00896FEE">
      <w:r>
        <w:separator/>
      </w:r>
    </w:p>
  </w:endnote>
  <w:endnote w:type="continuationSeparator" w:id="0">
    <w:p w:rsidR="000A44A1" w:rsidRDefault="000A44A1" w:rsidP="0089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49775"/>
      <w:docPartObj>
        <w:docPartGallery w:val="Page Numbers (Bottom of Page)"/>
        <w:docPartUnique/>
      </w:docPartObj>
    </w:sdtPr>
    <w:sdtEndPr>
      <w:rPr>
        <w:noProof/>
      </w:rPr>
    </w:sdtEndPr>
    <w:sdtContent>
      <w:p w:rsidR="00896FEE" w:rsidRDefault="00896FEE">
        <w:pPr>
          <w:pStyle w:val="Footer"/>
          <w:jc w:val="center"/>
        </w:pPr>
        <w:r>
          <w:fldChar w:fldCharType="begin"/>
        </w:r>
        <w:r>
          <w:instrText xml:space="preserve"> PAGE   \* MERGEFORMAT </w:instrText>
        </w:r>
        <w:r>
          <w:fldChar w:fldCharType="separate"/>
        </w:r>
        <w:r w:rsidR="00013BD8">
          <w:rPr>
            <w:noProof/>
          </w:rPr>
          <w:t>2</w:t>
        </w:r>
        <w:r>
          <w:rPr>
            <w:noProof/>
          </w:rPr>
          <w:fldChar w:fldCharType="end"/>
        </w:r>
      </w:p>
    </w:sdtContent>
  </w:sdt>
  <w:p w:rsidR="00896FEE" w:rsidRDefault="00896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4A1" w:rsidRDefault="000A44A1" w:rsidP="00896FEE">
      <w:r>
        <w:separator/>
      </w:r>
    </w:p>
  </w:footnote>
  <w:footnote w:type="continuationSeparator" w:id="0">
    <w:p w:rsidR="000A44A1" w:rsidRDefault="000A44A1" w:rsidP="00896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345BF"/>
    <w:multiLevelType w:val="hybridMultilevel"/>
    <w:tmpl w:val="6774481E"/>
    <w:lvl w:ilvl="0" w:tplc="84369EE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95"/>
    <w:rsid w:val="0001065B"/>
    <w:rsid w:val="00011438"/>
    <w:rsid w:val="00013BD8"/>
    <w:rsid w:val="00026729"/>
    <w:rsid w:val="0006330A"/>
    <w:rsid w:val="000A44A1"/>
    <w:rsid w:val="000F4CE6"/>
    <w:rsid w:val="00141A70"/>
    <w:rsid w:val="0014372C"/>
    <w:rsid w:val="001439DC"/>
    <w:rsid w:val="00193553"/>
    <w:rsid w:val="00196A42"/>
    <w:rsid w:val="001C725A"/>
    <w:rsid w:val="001F5ECC"/>
    <w:rsid w:val="002034FE"/>
    <w:rsid w:val="002074EA"/>
    <w:rsid w:val="002931BE"/>
    <w:rsid w:val="002B1D6F"/>
    <w:rsid w:val="002D5C56"/>
    <w:rsid w:val="00311045"/>
    <w:rsid w:val="00355E08"/>
    <w:rsid w:val="0036281C"/>
    <w:rsid w:val="003908C6"/>
    <w:rsid w:val="00404729"/>
    <w:rsid w:val="00423280"/>
    <w:rsid w:val="00442106"/>
    <w:rsid w:val="0045153A"/>
    <w:rsid w:val="00462956"/>
    <w:rsid w:val="00465F4B"/>
    <w:rsid w:val="00472B93"/>
    <w:rsid w:val="00475944"/>
    <w:rsid w:val="004A4114"/>
    <w:rsid w:val="004B3AF1"/>
    <w:rsid w:val="004C54E3"/>
    <w:rsid w:val="005571B0"/>
    <w:rsid w:val="005A0CAA"/>
    <w:rsid w:val="005E2F95"/>
    <w:rsid w:val="00613550"/>
    <w:rsid w:val="0069481A"/>
    <w:rsid w:val="006B2EF8"/>
    <w:rsid w:val="00706A21"/>
    <w:rsid w:val="00757355"/>
    <w:rsid w:val="00797423"/>
    <w:rsid w:val="007B6DED"/>
    <w:rsid w:val="007C72F0"/>
    <w:rsid w:val="007D3586"/>
    <w:rsid w:val="0082257A"/>
    <w:rsid w:val="00833675"/>
    <w:rsid w:val="00853CD5"/>
    <w:rsid w:val="00896FEE"/>
    <w:rsid w:val="008C5CAF"/>
    <w:rsid w:val="00922B9F"/>
    <w:rsid w:val="009332DC"/>
    <w:rsid w:val="0097465D"/>
    <w:rsid w:val="009C6902"/>
    <w:rsid w:val="009D2DBD"/>
    <w:rsid w:val="00A0112A"/>
    <w:rsid w:val="00A11DCB"/>
    <w:rsid w:val="00A31BBE"/>
    <w:rsid w:val="00A93260"/>
    <w:rsid w:val="00AF5206"/>
    <w:rsid w:val="00B47BF3"/>
    <w:rsid w:val="00B830DB"/>
    <w:rsid w:val="00C209FA"/>
    <w:rsid w:val="00C32A69"/>
    <w:rsid w:val="00C362BF"/>
    <w:rsid w:val="00C43F6F"/>
    <w:rsid w:val="00C604D1"/>
    <w:rsid w:val="00C775D1"/>
    <w:rsid w:val="00C82CFD"/>
    <w:rsid w:val="00D1778C"/>
    <w:rsid w:val="00D47A0E"/>
    <w:rsid w:val="00D56A05"/>
    <w:rsid w:val="00D93B46"/>
    <w:rsid w:val="00E03AB5"/>
    <w:rsid w:val="00E92FF2"/>
    <w:rsid w:val="00EB3C4C"/>
    <w:rsid w:val="00F0313F"/>
    <w:rsid w:val="00F046B2"/>
    <w:rsid w:val="00F1325C"/>
    <w:rsid w:val="00F21A0D"/>
    <w:rsid w:val="00F45B02"/>
    <w:rsid w:val="00F755B8"/>
    <w:rsid w:val="00FC00BF"/>
    <w:rsid w:val="00FE2A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25FD9D-712D-49BB-AC5D-282D27BE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F9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0E"/>
    <w:pPr>
      <w:ind w:left="720"/>
      <w:contextualSpacing/>
    </w:pPr>
  </w:style>
  <w:style w:type="paragraph" w:styleId="Header">
    <w:name w:val="header"/>
    <w:basedOn w:val="Normal"/>
    <w:link w:val="HeaderChar"/>
    <w:rsid w:val="00896FEE"/>
    <w:pPr>
      <w:tabs>
        <w:tab w:val="center" w:pos="4536"/>
        <w:tab w:val="right" w:pos="9072"/>
      </w:tabs>
    </w:pPr>
  </w:style>
  <w:style w:type="character" w:customStyle="1" w:styleId="HeaderChar">
    <w:name w:val="Header Char"/>
    <w:basedOn w:val="DefaultParagraphFont"/>
    <w:link w:val="Header"/>
    <w:rsid w:val="00896FEE"/>
    <w:rPr>
      <w:sz w:val="24"/>
      <w:szCs w:val="24"/>
      <w:lang w:val="en-US" w:eastAsia="en-US"/>
    </w:rPr>
  </w:style>
  <w:style w:type="paragraph" w:styleId="Footer">
    <w:name w:val="footer"/>
    <w:basedOn w:val="Normal"/>
    <w:link w:val="FooterChar"/>
    <w:uiPriority w:val="99"/>
    <w:rsid w:val="00896FEE"/>
    <w:pPr>
      <w:tabs>
        <w:tab w:val="center" w:pos="4536"/>
        <w:tab w:val="right" w:pos="9072"/>
      </w:tabs>
    </w:pPr>
  </w:style>
  <w:style w:type="character" w:customStyle="1" w:styleId="FooterChar">
    <w:name w:val="Footer Char"/>
    <w:basedOn w:val="DefaultParagraphFont"/>
    <w:link w:val="Footer"/>
    <w:uiPriority w:val="99"/>
    <w:rsid w:val="00896FE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9F644-9A66-4053-AD8F-3215AB22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NRA</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ЕВГЕНИЯ ИВАНОВА ПОПОВА</dc:creator>
  <cp:lastModifiedBy>ЕВГЕНИЯ ИВАНОВА ПОПОВА</cp:lastModifiedBy>
  <cp:revision>2</cp:revision>
  <dcterms:created xsi:type="dcterms:W3CDTF">2022-12-30T10:58:00Z</dcterms:created>
  <dcterms:modified xsi:type="dcterms:W3CDTF">2022-12-30T10:58:00Z</dcterms:modified>
</cp:coreProperties>
</file>