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0FC3E" w14:textId="06742959" w:rsidR="00BE3E69" w:rsidRDefault="00194952" w:rsidP="00BE3E69">
      <w:pPr>
        <w:jc w:val="center"/>
        <w:rPr>
          <w:sz w:val="36"/>
          <w:szCs w:val="36"/>
        </w:rPr>
      </w:pPr>
      <w:r w:rsidRPr="00194952">
        <w:rPr>
          <w:sz w:val="36"/>
          <w:szCs w:val="36"/>
        </w:rPr>
        <w:t>Документи от началото на XXI век</w:t>
      </w:r>
      <w:r w:rsidR="002627CA">
        <w:rPr>
          <w:sz w:val="36"/>
          <w:szCs w:val="36"/>
        </w:rPr>
        <w:t xml:space="preserve"> – основни особености на директивите 2002</w:t>
      </w:r>
      <w:r w:rsidR="002627CA">
        <w:rPr>
          <w:sz w:val="36"/>
          <w:szCs w:val="36"/>
          <w:lang w:val="en-US"/>
        </w:rPr>
        <w:t xml:space="preserve">/58/CE </w:t>
      </w:r>
      <w:r w:rsidR="002627CA">
        <w:rPr>
          <w:sz w:val="36"/>
          <w:szCs w:val="36"/>
        </w:rPr>
        <w:t>и 2006</w:t>
      </w:r>
      <w:r w:rsidR="002627CA">
        <w:rPr>
          <w:sz w:val="36"/>
          <w:szCs w:val="36"/>
          <w:lang w:val="en-US"/>
        </w:rPr>
        <w:t>/24/CE</w:t>
      </w:r>
      <w:r>
        <w:rPr>
          <w:sz w:val="36"/>
          <w:szCs w:val="36"/>
        </w:rPr>
        <w:t xml:space="preserve"> </w:t>
      </w:r>
      <w:r w:rsidR="00BE3E69">
        <w:rPr>
          <w:sz w:val="36"/>
          <w:szCs w:val="36"/>
        </w:rPr>
        <w:t>– презентация по ИТЗЛД</w:t>
      </w:r>
    </w:p>
    <w:p w14:paraId="0C09CF3D" w14:textId="77777777" w:rsidR="00BE3E69" w:rsidRDefault="00BE3E69" w:rsidP="00BE3E69"/>
    <w:p w14:paraId="6F5FFC2C" w14:textId="77777777" w:rsidR="00BE3E69" w:rsidRDefault="00BE3E69" w:rsidP="00BE3E69">
      <w:pPr>
        <w:rPr>
          <w:sz w:val="32"/>
          <w:szCs w:val="32"/>
          <w:lang w:val="en-US"/>
        </w:rPr>
      </w:pPr>
      <w:r>
        <w:rPr>
          <w:sz w:val="32"/>
          <w:szCs w:val="32"/>
        </w:rPr>
        <w:t>Съдържание</w:t>
      </w:r>
      <w:r>
        <w:rPr>
          <w:sz w:val="32"/>
          <w:szCs w:val="32"/>
          <w:lang w:val="en-US"/>
        </w:rPr>
        <w:t>:</w:t>
      </w:r>
    </w:p>
    <w:p w14:paraId="505A19D9" w14:textId="3A3A989A" w:rsidR="00BE3E69" w:rsidRPr="00861BBD" w:rsidRDefault="00BE3E69" w:rsidP="00BE3E69">
      <w:pPr>
        <w:pStyle w:val="ListParagraph"/>
        <w:numPr>
          <w:ilvl w:val="0"/>
          <w:numId w:val="1"/>
        </w:numPr>
        <w:rPr>
          <w:lang w:val="en-US"/>
        </w:rPr>
      </w:pPr>
      <w:r>
        <w:rPr>
          <w:sz w:val="24"/>
          <w:szCs w:val="24"/>
        </w:rPr>
        <w:t>Увод</w:t>
      </w:r>
    </w:p>
    <w:p w14:paraId="74FD27F4" w14:textId="4841C860" w:rsidR="00861BBD" w:rsidRPr="00861BBD" w:rsidRDefault="00861BBD" w:rsidP="00BE3E69">
      <w:pPr>
        <w:pStyle w:val="ListParagraph"/>
        <w:numPr>
          <w:ilvl w:val="0"/>
          <w:numId w:val="1"/>
        </w:numPr>
        <w:rPr>
          <w:lang w:val="en-US"/>
        </w:rPr>
      </w:pPr>
      <w:r>
        <w:rPr>
          <w:sz w:val="24"/>
          <w:szCs w:val="24"/>
        </w:rPr>
        <w:t>Понятието директива</w:t>
      </w:r>
    </w:p>
    <w:p w14:paraId="49D946D0" w14:textId="5AA52359" w:rsidR="00861BBD" w:rsidRPr="00445CEC" w:rsidRDefault="00861BBD" w:rsidP="00BE3E69">
      <w:pPr>
        <w:pStyle w:val="ListParagraph"/>
        <w:numPr>
          <w:ilvl w:val="0"/>
          <w:numId w:val="1"/>
        </w:numPr>
        <w:rPr>
          <w:lang w:val="en-US"/>
        </w:rPr>
      </w:pPr>
      <w:r>
        <w:rPr>
          <w:sz w:val="24"/>
          <w:szCs w:val="24"/>
        </w:rPr>
        <w:t>Процедури при изработване на директива</w:t>
      </w:r>
    </w:p>
    <w:p w14:paraId="5F293827" w14:textId="5277CA4A" w:rsidR="00861BBD" w:rsidRPr="00861BBD" w:rsidRDefault="00861BBD" w:rsidP="00BE3E69">
      <w:pPr>
        <w:pStyle w:val="ListParagraph"/>
        <w:numPr>
          <w:ilvl w:val="0"/>
          <w:numId w:val="1"/>
        </w:numPr>
        <w:rPr>
          <w:lang w:val="en-US"/>
        </w:rPr>
      </w:pPr>
      <w:r>
        <w:rPr>
          <w:sz w:val="24"/>
          <w:szCs w:val="24"/>
        </w:rPr>
        <w:t>Изработване на директива</w:t>
      </w:r>
    </w:p>
    <w:p w14:paraId="0D13613F" w14:textId="2BE228B8" w:rsidR="00BE3E69" w:rsidRPr="008141CD" w:rsidRDefault="00861BBD" w:rsidP="00AF4B24">
      <w:pPr>
        <w:pStyle w:val="ListParagraph"/>
        <w:numPr>
          <w:ilvl w:val="0"/>
          <w:numId w:val="1"/>
        </w:numPr>
        <w:rPr>
          <w:lang w:val="en-US"/>
        </w:rPr>
      </w:pPr>
      <w:r>
        <w:rPr>
          <w:sz w:val="24"/>
          <w:szCs w:val="24"/>
        </w:rPr>
        <w:t>Приемане на директива</w:t>
      </w:r>
    </w:p>
    <w:p w14:paraId="414F4E10" w14:textId="0C15BC18" w:rsidR="00AF4B24" w:rsidRPr="00AF4B24" w:rsidRDefault="00AF4B24" w:rsidP="00AF4B24">
      <w:pPr>
        <w:pStyle w:val="ListParagraph"/>
        <w:numPr>
          <w:ilvl w:val="0"/>
          <w:numId w:val="1"/>
        </w:numPr>
        <w:rPr>
          <w:lang w:val="en-US"/>
        </w:rPr>
      </w:pPr>
      <w:r>
        <w:rPr>
          <w:sz w:val="24"/>
          <w:szCs w:val="24"/>
        </w:rPr>
        <w:t>Основни особености на директивата 2002</w:t>
      </w:r>
      <w:r>
        <w:rPr>
          <w:sz w:val="24"/>
          <w:szCs w:val="24"/>
          <w:lang w:val="en-US"/>
        </w:rPr>
        <w:t>/58/CE</w:t>
      </w:r>
    </w:p>
    <w:p w14:paraId="38DD8E01" w14:textId="73F9033F" w:rsidR="00AF4B24" w:rsidRPr="00AF4B24" w:rsidRDefault="00AF4B24" w:rsidP="00AF4B24">
      <w:pPr>
        <w:pStyle w:val="ListParagraph"/>
        <w:numPr>
          <w:ilvl w:val="0"/>
          <w:numId w:val="1"/>
        </w:numPr>
        <w:rPr>
          <w:lang w:val="en-US"/>
        </w:rPr>
      </w:pPr>
      <w:r>
        <w:rPr>
          <w:sz w:val="24"/>
          <w:szCs w:val="24"/>
        </w:rPr>
        <w:t xml:space="preserve">Основни особености на директивата </w:t>
      </w:r>
      <w:r>
        <w:rPr>
          <w:sz w:val="24"/>
          <w:szCs w:val="24"/>
          <w:lang w:val="en-US"/>
        </w:rPr>
        <w:t>2006/24/CE</w:t>
      </w:r>
    </w:p>
    <w:p w14:paraId="3B865B98" w14:textId="77777777" w:rsidR="00BE3E69" w:rsidRPr="00BC7336" w:rsidRDefault="00BE3E69" w:rsidP="00BE3E69">
      <w:pPr>
        <w:pStyle w:val="ListParagraph"/>
        <w:numPr>
          <w:ilvl w:val="0"/>
          <w:numId w:val="1"/>
        </w:numPr>
        <w:rPr>
          <w:sz w:val="24"/>
          <w:szCs w:val="24"/>
          <w:lang w:val="en-US"/>
        </w:rPr>
      </w:pPr>
      <w:r w:rsidRPr="00BC7336">
        <w:rPr>
          <w:sz w:val="24"/>
          <w:szCs w:val="24"/>
        </w:rPr>
        <w:t>Източници</w:t>
      </w:r>
    </w:p>
    <w:p w14:paraId="2C74A86B" w14:textId="77777777" w:rsidR="00BE3E69" w:rsidRDefault="00BE3E69" w:rsidP="00BE3E69">
      <w:pPr>
        <w:rPr>
          <w:lang w:val="en-US"/>
        </w:rPr>
      </w:pPr>
    </w:p>
    <w:p w14:paraId="0818597C" w14:textId="061A9799" w:rsidR="00BE3E69" w:rsidRPr="00001485" w:rsidRDefault="00BE3E69" w:rsidP="00BE3E69">
      <w:pPr>
        <w:rPr>
          <w:b/>
          <w:bCs/>
          <w:sz w:val="24"/>
          <w:szCs w:val="24"/>
        </w:rPr>
      </w:pPr>
      <w:r w:rsidRPr="00001485">
        <w:rPr>
          <w:b/>
          <w:bCs/>
          <w:sz w:val="24"/>
          <w:szCs w:val="24"/>
          <w:lang w:val="en-US"/>
        </w:rPr>
        <w:t xml:space="preserve">1. </w:t>
      </w:r>
      <w:r w:rsidRPr="00001485">
        <w:rPr>
          <w:b/>
          <w:bCs/>
          <w:sz w:val="24"/>
          <w:szCs w:val="24"/>
        </w:rPr>
        <w:t>Увод</w:t>
      </w:r>
    </w:p>
    <w:p w14:paraId="24778C82" w14:textId="4A808BCF" w:rsidR="007A06C6" w:rsidRPr="00D37D04" w:rsidRDefault="004501B4" w:rsidP="00E04169">
      <w:pPr>
        <w:ind w:firstLine="708"/>
        <w:jc w:val="both"/>
        <w:rPr>
          <w:sz w:val="24"/>
          <w:szCs w:val="24"/>
        </w:rPr>
      </w:pPr>
      <w:r w:rsidRPr="004501B4">
        <w:rPr>
          <w:b/>
          <w:bCs/>
          <w:sz w:val="24"/>
          <w:szCs w:val="24"/>
        </w:rPr>
        <w:t>Директивата</w:t>
      </w:r>
      <w:r w:rsidRPr="004501B4">
        <w:rPr>
          <w:sz w:val="24"/>
          <w:szCs w:val="24"/>
        </w:rPr>
        <w:t>, за разлика от регламента</w:t>
      </w:r>
      <w:r>
        <w:rPr>
          <w:sz w:val="24"/>
          <w:szCs w:val="24"/>
          <w:lang w:val="en-US"/>
        </w:rPr>
        <w:t xml:space="preserve"> (</w:t>
      </w:r>
      <w:r w:rsidRPr="004501B4">
        <w:rPr>
          <w:sz w:val="24"/>
          <w:szCs w:val="24"/>
        </w:rPr>
        <w:t>европейски акт, който се прилага директно и незабавно във всички държави членки</w:t>
      </w:r>
      <w:r>
        <w:rPr>
          <w:sz w:val="24"/>
          <w:szCs w:val="24"/>
          <w:lang w:val="en-US"/>
        </w:rPr>
        <w:t>)</w:t>
      </w:r>
      <w:r w:rsidRPr="004501B4">
        <w:rPr>
          <w:sz w:val="24"/>
          <w:szCs w:val="24"/>
        </w:rPr>
        <w:t>, не създава задължения за</w:t>
      </w:r>
      <w:r>
        <w:rPr>
          <w:sz w:val="24"/>
          <w:szCs w:val="24"/>
          <w:lang w:val="en-US"/>
        </w:rPr>
        <w:t xml:space="preserve"> </w:t>
      </w:r>
      <w:r>
        <w:rPr>
          <w:sz w:val="24"/>
          <w:szCs w:val="24"/>
        </w:rPr>
        <w:t xml:space="preserve">нас </w:t>
      </w:r>
      <w:r w:rsidRPr="004501B4">
        <w:rPr>
          <w:sz w:val="24"/>
          <w:szCs w:val="24"/>
        </w:rPr>
        <w:t>като физическ</w:t>
      </w:r>
      <w:r>
        <w:rPr>
          <w:sz w:val="24"/>
          <w:szCs w:val="24"/>
        </w:rPr>
        <w:t>и</w:t>
      </w:r>
      <w:r w:rsidRPr="004501B4">
        <w:rPr>
          <w:sz w:val="24"/>
          <w:szCs w:val="24"/>
        </w:rPr>
        <w:t xml:space="preserve"> или юридическ</w:t>
      </w:r>
      <w:r>
        <w:rPr>
          <w:sz w:val="24"/>
          <w:szCs w:val="24"/>
        </w:rPr>
        <w:t>и</w:t>
      </w:r>
      <w:r w:rsidRPr="004501B4">
        <w:rPr>
          <w:sz w:val="24"/>
          <w:szCs w:val="24"/>
        </w:rPr>
        <w:t xml:space="preserve"> лиц</w:t>
      </w:r>
      <w:r>
        <w:rPr>
          <w:sz w:val="24"/>
          <w:szCs w:val="24"/>
        </w:rPr>
        <w:t>а</w:t>
      </w:r>
      <w:r w:rsidRPr="004501B4">
        <w:rPr>
          <w:sz w:val="24"/>
          <w:szCs w:val="24"/>
        </w:rPr>
        <w:t xml:space="preserve">, а само за държавите членки. Това задължение се изразява в изискването да се постигне определен резултат в определен срок. </w:t>
      </w:r>
      <w:r w:rsidRPr="00864248">
        <w:rPr>
          <w:sz w:val="24"/>
          <w:szCs w:val="24"/>
          <w:highlight w:val="yellow"/>
        </w:rPr>
        <w:t xml:space="preserve">За тази цел държавите приемат свои закони, чрез които да се осъществи поставената задача. Тоест Европейският съюз изисква определен краен резултат, а държавите сами определят по какъв начин ще го постигнат. Директива би било например изискването до определена година да се намали до определени нива </w:t>
      </w:r>
      <w:r w:rsidRPr="00864248">
        <w:rPr>
          <w:b/>
          <w:bCs/>
          <w:sz w:val="24"/>
          <w:szCs w:val="24"/>
          <w:highlight w:val="yellow"/>
        </w:rPr>
        <w:t>замърсяването на въздуха</w:t>
      </w:r>
      <w:r w:rsidRPr="00864248">
        <w:rPr>
          <w:sz w:val="24"/>
          <w:szCs w:val="24"/>
          <w:highlight w:val="yellow"/>
        </w:rPr>
        <w:t>.</w:t>
      </w:r>
      <w:r w:rsidR="00936614">
        <w:rPr>
          <w:sz w:val="24"/>
          <w:szCs w:val="24"/>
        </w:rPr>
        <w:t xml:space="preserve"> В тази презентация ще дефинираме пониятието </w:t>
      </w:r>
      <w:r w:rsidR="00936614">
        <w:rPr>
          <w:sz w:val="24"/>
          <w:szCs w:val="24"/>
          <w:lang w:val="en-US"/>
        </w:rPr>
        <w:t>“</w:t>
      </w:r>
      <w:r w:rsidR="00936614">
        <w:rPr>
          <w:sz w:val="24"/>
          <w:szCs w:val="24"/>
        </w:rPr>
        <w:t>директива</w:t>
      </w:r>
      <w:r w:rsidR="00936614">
        <w:rPr>
          <w:sz w:val="24"/>
          <w:szCs w:val="24"/>
          <w:lang w:val="en-US"/>
        </w:rPr>
        <w:t xml:space="preserve">”, </w:t>
      </w:r>
      <w:r w:rsidR="00936614">
        <w:rPr>
          <w:sz w:val="24"/>
          <w:szCs w:val="24"/>
        </w:rPr>
        <w:t>както и дефинициите свързани с него</w:t>
      </w:r>
      <w:r w:rsidR="00013903">
        <w:rPr>
          <w:sz w:val="24"/>
          <w:szCs w:val="24"/>
        </w:rPr>
        <w:t>, ще разгледаме основните особености на две дире</w:t>
      </w:r>
      <w:r w:rsidR="00D37D04">
        <w:rPr>
          <w:sz w:val="24"/>
          <w:szCs w:val="24"/>
        </w:rPr>
        <w:t>к</w:t>
      </w:r>
      <w:r w:rsidR="00013903">
        <w:rPr>
          <w:sz w:val="24"/>
          <w:szCs w:val="24"/>
        </w:rPr>
        <w:t>тиви 2002</w:t>
      </w:r>
      <w:r w:rsidR="00013903">
        <w:rPr>
          <w:sz w:val="24"/>
          <w:szCs w:val="24"/>
          <w:lang w:val="en-US"/>
        </w:rPr>
        <w:t>/58/CE</w:t>
      </w:r>
      <w:r w:rsidR="00013903">
        <w:rPr>
          <w:sz w:val="24"/>
          <w:szCs w:val="24"/>
        </w:rPr>
        <w:t xml:space="preserve"> и </w:t>
      </w:r>
      <w:r w:rsidR="00013903">
        <w:rPr>
          <w:sz w:val="24"/>
          <w:szCs w:val="24"/>
          <w:lang w:val="en-US"/>
        </w:rPr>
        <w:t>2006/24/CE</w:t>
      </w:r>
      <w:r w:rsidR="00D37D04">
        <w:rPr>
          <w:sz w:val="24"/>
          <w:szCs w:val="24"/>
        </w:rPr>
        <w:t>.</w:t>
      </w:r>
    </w:p>
    <w:p w14:paraId="75A37D6C" w14:textId="77777777" w:rsidR="007A06C6" w:rsidRDefault="007A06C6" w:rsidP="00445CEC">
      <w:pPr>
        <w:ind w:firstLine="708"/>
        <w:jc w:val="both"/>
        <w:rPr>
          <w:sz w:val="24"/>
          <w:szCs w:val="24"/>
        </w:rPr>
      </w:pPr>
    </w:p>
    <w:p w14:paraId="6A908E3E" w14:textId="386E03FC" w:rsidR="007A06C6" w:rsidRPr="00001485" w:rsidRDefault="007A06C6" w:rsidP="00445CEC">
      <w:pPr>
        <w:jc w:val="both"/>
        <w:rPr>
          <w:b/>
          <w:bCs/>
          <w:sz w:val="24"/>
          <w:szCs w:val="24"/>
        </w:rPr>
      </w:pPr>
      <w:r w:rsidRPr="00001485">
        <w:rPr>
          <w:b/>
          <w:bCs/>
          <w:sz w:val="24"/>
          <w:szCs w:val="24"/>
        </w:rPr>
        <w:t>2. Понятието директива</w:t>
      </w:r>
    </w:p>
    <w:p w14:paraId="4FB79D64" w14:textId="10382ADD" w:rsidR="000F59F7" w:rsidRDefault="007A06C6" w:rsidP="000F59F7">
      <w:pPr>
        <w:ind w:firstLine="708"/>
        <w:jc w:val="both"/>
        <w:rPr>
          <w:sz w:val="24"/>
          <w:szCs w:val="24"/>
        </w:rPr>
      </w:pPr>
      <w:r w:rsidRPr="007A06C6">
        <w:rPr>
          <w:b/>
          <w:bCs/>
          <w:sz w:val="24"/>
          <w:szCs w:val="24"/>
        </w:rPr>
        <w:t>Директивата</w:t>
      </w:r>
      <w:r w:rsidRPr="007A06C6">
        <w:rPr>
          <w:sz w:val="24"/>
          <w:szCs w:val="24"/>
        </w:rPr>
        <w:t xml:space="preserve"> е вид нормативен акт, приет от институции на Европейския съюз. Заедно с регламентите и препоръките, директивите са част от европейското законодателство.</w:t>
      </w:r>
      <w:r w:rsidR="00445CEC" w:rsidRPr="00445CEC">
        <w:t xml:space="preserve"> </w:t>
      </w:r>
      <w:r w:rsidR="00445CEC" w:rsidRPr="00864248">
        <w:rPr>
          <w:sz w:val="24"/>
          <w:szCs w:val="24"/>
          <w:highlight w:val="yellow"/>
        </w:rPr>
        <w:t>С такива документи БКП до 1989 г. определя и постановяв</w:t>
      </w:r>
      <w:r w:rsidR="00305EAA" w:rsidRPr="00864248">
        <w:rPr>
          <w:sz w:val="24"/>
          <w:szCs w:val="24"/>
          <w:highlight w:val="yellow"/>
        </w:rPr>
        <w:t>а</w:t>
      </w:r>
      <w:r w:rsidR="00445CEC" w:rsidRPr="00864248">
        <w:rPr>
          <w:sz w:val="24"/>
          <w:szCs w:val="24"/>
          <w:highlight w:val="yellow"/>
        </w:rPr>
        <w:t xml:space="preserve"> критерии, норми и задачи за изпълнение от държавните органи. Такова е наименованието на документите на Европейския съюз, с които на държавите членки се поставя определена цел, без да се налагат изрични мерки за постигането ѝ.</w:t>
      </w:r>
    </w:p>
    <w:p w14:paraId="2968A22C" w14:textId="685BD849" w:rsidR="00445CEC" w:rsidRDefault="00445CEC" w:rsidP="000F59F7">
      <w:pPr>
        <w:ind w:firstLine="708"/>
        <w:jc w:val="both"/>
        <w:rPr>
          <w:sz w:val="24"/>
          <w:szCs w:val="24"/>
        </w:rPr>
      </w:pPr>
      <w:r w:rsidRPr="00445CEC">
        <w:rPr>
          <w:b/>
          <w:bCs/>
          <w:sz w:val="24"/>
          <w:szCs w:val="24"/>
        </w:rPr>
        <w:t>Директивата</w:t>
      </w:r>
      <w:r w:rsidRPr="00445CEC">
        <w:rPr>
          <w:sz w:val="24"/>
          <w:szCs w:val="24"/>
        </w:rPr>
        <w:t xml:space="preserve"> е част от </w:t>
      </w:r>
      <w:hyperlink r:id="rId8" w:history="1">
        <w:r w:rsidRPr="00445CEC">
          <w:rPr>
            <w:rStyle w:val="Hyperlink"/>
            <w:sz w:val="24"/>
            <w:szCs w:val="24"/>
          </w:rPr>
          <w:t>вторичното законодателство на ЕС</w:t>
        </w:r>
      </w:hyperlink>
      <w:r w:rsidRPr="00445CEC">
        <w:rPr>
          <w:sz w:val="24"/>
          <w:szCs w:val="24"/>
        </w:rPr>
        <w:t>. Следователно тя се приема от институциите на ЕС в съответствие с учредителните договори на ЕС. След като бъде приета на равнището на ЕС, тя се въвежда — или транспонира — от държавите от ЕС и става законодателство в тези държави.</w:t>
      </w:r>
      <w:r w:rsidR="00434B85">
        <w:rPr>
          <w:sz w:val="24"/>
          <w:szCs w:val="24"/>
          <w:lang w:val="en-US"/>
        </w:rPr>
        <w:t xml:space="preserve"> </w:t>
      </w:r>
      <w:r w:rsidRPr="00864248">
        <w:rPr>
          <w:sz w:val="24"/>
          <w:szCs w:val="24"/>
          <w:highlight w:val="yellow"/>
        </w:rPr>
        <w:t xml:space="preserve">Например с </w:t>
      </w:r>
      <w:r w:rsidRPr="00864248">
        <w:rPr>
          <w:i/>
          <w:iCs/>
          <w:sz w:val="24"/>
          <w:szCs w:val="24"/>
          <w:highlight w:val="yellow"/>
        </w:rPr>
        <w:t>Директивата относно организацията на работното време</w:t>
      </w:r>
      <w:r w:rsidRPr="00864248">
        <w:rPr>
          <w:sz w:val="24"/>
          <w:szCs w:val="24"/>
          <w:highlight w:val="yellow"/>
        </w:rPr>
        <w:t xml:space="preserve"> се определят задължителни периоди за почивка </w:t>
      </w:r>
      <w:r w:rsidRPr="00864248">
        <w:rPr>
          <w:sz w:val="24"/>
          <w:szCs w:val="24"/>
          <w:highlight w:val="yellow"/>
        </w:rPr>
        <w:lastRenderedPageBreak/>
        <w:t>и ограничение на седмичното работно време, разрешено в ЕС. От всяка отделна държава обаче зависи да разработи свои собствени закони, за да определи как да се прилагат тези правила.</w:t>
      </w:r>
    </w:p>
    <w:p w14:paraId="2867864A" w14:textId="47A0F208" w:rsidR="00445CEC" w:rsidRDefault="00445CEC" w:rsidP="00445CEC">
      <w:pPr>
        <w:jc w:val="both"/>
        <w:rPr>
          <w:sz w:val="24"/>
          <w:szCs w:val="24"/>
        </w:rPr>
      </w:pPr>
    </w:p>
    <w:p w14:paraId="0FE57982" w14:textId="5D6958EA" w:rsidR="00445CEC" w:rsidRPr="00001485" w:rsidRDefault="000F59F7" w:rsidP="00445CEC">
      <w:pPr>
        <w:rPr>
          <w:b/>
          <w:bCs/>
          <w:sz w:val="24"/>
          <w:szCs w:val="24"/>
        </w:rPr>
      </w:pPr>
      <w:r>
        <w:rPr>
          <w:b/>
          <w:bCs/>
          <w:sz w:val="24"/>
          <w:szCs w:val="24"/>
          <w:lang w:val="en-US"/>
        </w:rPr>
        <w:t>3</w:t>
      </w:r>
      <w:r w:rsidR="00445CEC" w:rsidRPr="00001485">
        <w:rPr>
          <w:b/>
          <w:bCs/>
          <w:sz w:val="24"/>
          <w:szCs w:val="24"/>
        </w:rPr>
        <w:t>. Процедури при изработване на директива</w:t>
      </w:r>
    </w:p>
    <w:p w14:paraId="6A818B6F" w14:textId="7ECBAC4C" w:rsidR="00445CEC" w:rsidRPr="00445CEC" w:rsidRDefault="00445CEC" w:rsidP="00E04169">
      <w:pPr>
        <w:ind w:firstLine="360"/>
        <w:jc w:val="both"/>
        <w:rPr>
          <w:sz w:val="24"/>
          <w:szCs w:val="24"/>
        </w:rPr>
      </w:pPr>
      <w:r w:rsidRPr="00445CEC">
        <w:rPr>
          <w:sz w:val="24"/>
          <w:szCs w:val="24"/>
        </w:rPr>
        <w:t xml:space="preserve">Макар че директивата в тесен смисъл на думата е нормативен акт на </w:t>
      </w:r>
      <w:r w:rsidRPr="00445CEC">
        <w:rPr>
          <w:i/>
          <w:iCs/>
          <w:sz w:val="24"/>
          <w:szCs w:val="24"/>
        </w:rPr>
        <w:t>Съвета на министрите</w:t>
      </w:r>
      <w:r w:rsidRPr="00445CEC">
        <w:rPr>
          <w:sz w:val="24"/>
          <w:szCs w:val="24"/>
        </w:rPr>
        <w:t>, нейното изработване и приемане изисква време и преминава през няколко етапа. В процеса</w:t>
      </w:r>
      <w:r w:rsidR="00D37D04">
        <w:rPr>
          <w:sz w:val="24"/>
          <w:szCs w:val="24"/>
        </w:rPr>
        <w:t xml:space="preserve"> </w:t>
      </w:r>
      <w:r w:rsidRPr="00445CEC">
        <w:rPr>
          <w:sz w:val="24"/>
          <w:szCs w:val="24"/>
        </w:rPr>
        <w:t xml:space="preserve">участват няколко институции и по-специално „институционалният триъгълник“: </w:t>
      </w:r>
    </w:p>
    <w:p w14:paraId="06CF1757" w14:textId="77777777" w:rsidR="00445CEC" w:rsidRPr="00445CEC" w:rsidRDefault="00AD641A" w:rsidP="00445CEC">
      <w:pPr>
        <w:numPr>
          <w:ilvl w:val="0"/>
          <w:numId w:val="5"/>
        </w:numPr>
        <w:jc w:val="both"/>
        <w:rPr>
          <w:sz w:val="24"/>
          <w:szCs w:val="24"/>
        </w:rPr>
      </w:pPr>
      <w:hyperlink r:id="rId9" w:tooltip="Европейска комисия" w:history="1">
        <w:r w:rsidR="00445CEC" w:rsidRPr="00445CEC">
          <w:rPr>
            <w:rStyle w:val="Hyperlink"/>
            <w:sz w:val="24"/>
            <w:szCs w:val="24"/>
          </w:rPr>
          <w:t>Европейска комисия</w:t>
        </w:r>
      </w:hyperlink>
    </w:p>
    <w:p w14:paraId="51BF1B4D" w14:textId="77777777" w:rsidR="00445CEC" w:rsidRPr="00445CEC" w:rsidRDefault="00AD641A" w:rsidP="00445CEC">
      <w:pPr>
        <w:numPr>
          <w:ilvl w:val="0"/>
          <w:numId w:val="5"/>
        </w:numPr>
        <w:jc w:val="both"/>
        <w:rPr>
          <w:sz w:val="24"/>
          <w:szCs w:val="24"/>
        </w:rPr>
      </w:pPr>
      <w:hyperlink r:id="rId10" w:tooltip="Съвет на Европейския съюз" w:history="1">
        <w:r w:rsidR="00445CEC" w:rsidRPr="00445CEC">
          <w:rPr>
            <w:rStyle w:val="Hyperlink"/>
            <w:sz w:val="24"/>
            <w:szCs w:val="24"/>
          </w:rPr>
          <w:t>Съвет на Европейския съюз</w:t>
        </w:r>
      </w:hyperlink>
    </w:p>
    <w:p w14:paraId="2B8749BE" w14:textId="77777777" w:rsidR="00445CEC" w:rsidRPr="00445CEC" w:rsidRDefault="00AD641A" w:rsidP="00445CEC">
      <w:pPr>
        <w:numPr>
          <w:ilvl w:val="0"/>
          <w:numId w:val="5"/>
        </w:numPr>
        <w:jc w:val="both"/>
        <w:rPr>
          <w:sz w:val="24"/>
          <w:szCs w:val="24"/>
        </w:rPr>
      </w:pPr>
      <w:hyperlink r:id="rId11" w:tooltip="Европейски парламент" w:history="1">
        <w:r w:rsidR="00445CEC" w:rsidRPr="00445CEC">
          <w:rPr>
            <w:rStyle w:val="Hyperlink"/>
            <w:sz w:val="24"/>
            <w:szCs w:val="24"/>
          </w:rPr>
          <w:t>Европейски парламент</w:t>
        </w:r>
      </w:hyperlink>
    </w:p>
    <w:p w14:paraId="193AD8A4" w14:textId="52D8C771" w:rsidR="00EC424F" w:rsidRDefault="00445CEC" w:rsidP="00EC424F">
      <w:pPr>
        <w:jc w:val="both"/>
        <w:rPr>
          <w:sz w:val="24"/>
          <w:szCs w:val="24"/>
          <w:lang w:val="en-US"/>
        </w:rPr>
      </w:pPr>
      <w:r w:rsidRPr="00457631">
        <w:rPr>
          <w:sz w:val="24"/>
          <w:szCs w:val="24"/>
          <w:highlight w:val="yellow"/>
        </w:rPr>
        <w:t xml:space="preserve">Правилата и процедурите за приемане на решения са определени в договора за основаване на съюза. По принцип, право на </w:t>
      </w:r>
      <w:r w:rsidRPr="00457631">
        <w:rPr>
          <w:b/>
          <w:bCs/>
          <w:sz w:val="24"/>
          <w:szCs w:val="24"/>
          <w:highlight w:val="yellow"/>
        </w:rPr>
        <w:t>Комисията</w:t>
      </w:r>
      <w:r w:rsidRPr="00457631">
        <w:rPr>
          <w:sz w:val="24"/>
          <w:szCs w:val="24"/>
          <w:highlight w:val="yellow"/>
        </w:rPr>
        <w:t xml:space="preserve"> е да предлага нови законодателни актове, а на </w:t>
      </w:r>
      <w:r w:rsidRPr="00457631">
        <w:rPr>
          <w:b/>
          <w:bCs/>
          <w:sz w:val="24"/>
          <w:szCs w:val="24"/>
          <w:highlight w:val="yellow"/>
        </w:rPr>
        <w:t>Парламента</w:t>
      </w:r>
      <w:r w:rsidRPr="00457631">
        <w:rPr>
          <w:sz w:val="24"/>
          <w:szCs w:val="24"/>
          <w:highlight w:val="yellow"/>
        </w:rPr>
        <w:t xml:space="preserve"> и </w:t>
      </w:r>
      <w:r w:rsidRPr="00457631">
        <w:rPr>
          <w:b/>
          <w:bCs/>
          <w:sz w:val="24"/>
          <w:szCs w:val="24"/>
          <w:highlight w:val="yellow"/>
        </w:rPr>
        <w:t>Съвета</w:t>
      </w:r>
      <w:r w:rsidRPr="00457631">
        <w:rPr>
          <w:sz w:val="24"/>
          <w:szCs w:val="24"/>
          <w:highlight w:val="yellow"/>
        </w:rPr>
        <w:t xml:space="preserve"> – да ги приемат. </w:t>
      </w:r>
      <w:r w:rsidRPr="00457631">
        <w:rPr>
          <w:b/>
          <w:bCs/>
          <w:sz w:val="24"/>
          <w:szCs w:val="24"/>
          <w:highlight w:val="yellow"/>
        </w:rPr>
        <w:t>Комисията</w:t>
      </w:r>
      <w:r w:rsidRPr="00457631">
        <w:rPr>
          <w:sz w:val="24"/>
          <w:szCs w:val="24"/>
          <w:highlight w:val="yellow"/>
        </w:rPr>
        <w:t xml:space="preserve"> и държавите членки са натоварени да ги прилагат. </w:t>
      </w:r>
      <w:r w:rsidRPr="00457631">
        <w:rPr>
          <w:b/>
          <w:bCs/>
          <w:sz w:val="24"/>
          <w:szCs w:val="24"/>
          <w:highlight w:val="yellow"/>
        </w:rPr>
        <w:t>Комисията</w:t>
      </w:r>
      <w:r w:rsidRPr="00457631">
        <w:rPr>
          <w:sz w:val="24"/>
          <w:szCs w:val="24"/>
          <w:highlight w:val="yellow"/>
        </w:rPr>
        <w:t xml:space="preserve"> следи за тяхното спазване.</w:t>
      </w:r>
    </w:p>
    <w:p w14:paraId="61682C64" w14:textId="77777777" w:rsidR="00AE6EFC" w:rsidRPr="00AE6EFC" w:rsidRDefault="00AE6EFC" w:rsidP="00EC424F">
      <w:pPr>
        <w:jc w:val="both"/>
        <w:rPr>
          <w:sz w:val="24"/>
          <w:szCs w:val="24"/>
          <w:lang w:val="en-US"/>
        </w:rPr>
      </w:pPr>
    </w:p>
    <w:p w14:paraId="6644E9E1" w14:textId="6DF38081" w:rsidR="00EC424F" w:rsidRPr="00280CF6" w:rsidRDefault="000F59F7" w:rsidP="00EC424F">
      <w:pPr>
        <w:jc w:val="both"/>
        <w:rPr>
          <w:b/>
          <w:bCs/>
          <w:sz w:val="24"/>
          <w:szCs w:val="24"/>
        </w:rPr>
      </w:pPr>
      <w:r>
        <w:rPr>
          <w:b/>
          <w:bCs/>
          <w:sz w:val="24"/>
          <w:szCs w:val="24"/>
          <w:lang w:val="en-US"/>
        </w:rPr>
        <w:t>4</w:t>
      </w:r>
      <w:r w:rsidR="00EC424F" w:rsidRPr="00001485">
        <w:rPr>
          <w:b/>
          <w:bCs/>
          <w:sz w:val="24"/>
          <w:szCs w:val="24"/>
        </w:rPr>
        <w:t>. Изработване</w:t>
      </w:r>
      <w:r w:rsidR="00280CF6">
        <w:rPr>
          <w:b/>
          <w:bCs/>
          <w:sz w:val="24"/>
          <w:szCs w:val="24"/>
          <w:lang w:val="en-US"/>
        </w:rPr>
        <w:t xml:space="preserve"> </w:t>
      </w:r>
      <w:r w:rsidR="00280CF6">
        <w:rPr>
          <w:b/>
          <w:bCs/>
          <w:sz w:val="24"/>
          <w:szCs w:val="24"/>
        </w:rPr>
        <w:t>на директивата</w:t>
      </w:r>
    </w:p>
    <w:p w14:paraId="56118E76" w14:textId="77777777" w:rsidR="00EC424F" w:rsidRDefault="00EC424F" w:rsidP="00E04169">
      <w:pPr>
        <w:ind w:firstLine="360"/>
        <w:jc w:val="both"/>
        <w:rPr>
          <w:sz w:val="24"/>
          <w:szCs w:val="24"/>
        </w:rPr>
      </w:pPr>
      <w:r w:rsidRPr="00EC424F">
        <w:rPr>
          <w:sz w:val="24"/>
          <w:szCs w:val="24"/>
        </w:rPr>
        <w:t xml:space="preserve">Предложението на </w:t>
      </w:r>
      <w:r w:rsidRPr="00254C3F">
        <w:rPr>
          <w:b/>
          <w:bCs/>
          <w:sz w:val="24"/>
          <w:szCs w:val="24"/>
        </w:rPr>
        <w:t>Комисията</w:t>
      </w:r>
      <w:r w:rsidRPr="00EC424F">
        <w:rPr>
          <w:sz w:val="24"/>
          <w:szCs w:val="24"/>
        </w:rPr>
        <w:t xml:space="preserve"> следва две паралелни процедури (два пътя) предвид представянето му пред </w:t>
      </w:r>
      <w:r w:rsidRPr="00254C3F">
        <w:rPr>
          <w:b/>
          <w:bCs/>
          <w:sz w:val="24"/>
          <w:szCs w:val="24"/>
        </w:rPr>
        <w:t>Съвета на Европейския съюз</w:t>
      </w:r>
      <w:r w:rsidRPr="00EC424F">
        <w:rPr>
          <w:sz w:val="24"/>
          <w:szCs w:val="24"/>
        </w:rPr>
        <w:t xml:space="preserve">, от една страна, </w:t>
      </w:r>
      <w:r w:rsidRPr="00254C3F">
        <w:rPr>
          <w:b/>
          <w:bCs/>
          <w:sz w:val="24"/>
          <w:szCs w:val="24"/>
        </w:rPr>
        <w:t>и Европейския парламент</w:t>
      </w:r>
      <w:r w:rsidRPr="00EC424F">
        <w:rPr>
          <w:sz w:val="24"/>
          <w:szCs w:val="24"/>
        </w:rPr>
        <w:t>, от друга:</w:t>
      </w:r>
    </w:p>
    <w:p w14:paraId="64739F28" w14:textId="77777777" w:rsidR="00EC424F" w:rsidRDefault="00EC424F" w:rsidP="00EC424F">
      <w:pPr>
        <w:pStyle w:val="ListParagraph"/>
        <w:numPr>
          <w:ilvl w:val="0"/>
          <w:numId w:val="8"/>
        </w:numPr>
        <w:jc w:val="both"/>
        <w:rPr>
          <w:sz w:val="24"/>
          <w:szCs w:val="24"/>
        </w:rPr>
      </w:pPr>
      <w:r w:rsidRPr="00EC424F">
        <w:rPr>
          <w:sz w:val="24"/>
          <w:szCs w:val="24"/>
        </w:rPr>
        <w:t xml:space="preserve">Процедура в </w:t>
      </w:r>
      <w:r w:rsidRPr="00D040A8">
        <w:rPr>
          <w:b/>
          <w:bCs/>
          <w:sz w:val="24"/>
          <w:szCs w:val="24"/>
        </w:rPr>
        <w:t>Съвета</w:t>
      </w:r>
      <w:r w:rsidRPr="00EC424F">
        <w:rPr>
          <w:sz w:val="24"/>
          <w:szCs w:val="24"/>
        </w:rPr>
        <w:t xml:space="preserve">: работна група, съставена от представители на страните членки или от техни министри, изготвя текста. </w:t>
      </w:r>
      <w:r w:rsidRPr="004E4838">
        <w:rPr>
          <w:sz w:val="24"/>
          <w:szCs w:val="24"/>
          <w:highlight w:val="yellow"/>
        </w:rPr>
        <w:t>След това тя се проучва от Комитет на постоянните представители (КОРЕПЕР), преди да се запише в дневния ред на Съвета на ЕС</w:t>
      </w:r>
      <w:r w:rsidRPr="00EC424F">
        <w:rPr>
          <w:sz w:val="24"/>
          <w:szCs w:val="24"/>
        </w:rPr>
        <w:t>.</w:t>
      </w:r>
      <w:r>
        <w:rPr>
          <w:sz w:val="24"/>
          <w:szCs w:val="24"/>
        </w:rPr>
        <w:t xml:space="preserve"> </w:t>
      </w:r>
    </w:p>
    <w:p w14:paraId="021D03FF" w14:textId="3195CF99" w:rsidR="0091787F" w:rsidRDefault="00EC424F" w:rsidP="00D3595D">
      <w:pPr>
        <w:pStyle w:val="ListParagraph"/>
        <w:numPr>
          <w:ilvl w:val="0"/>
          <w:numId w:val="8"/>
        </w:numPr>
        <w:jc w:val="both"/>
        <w:rPr>
          <w:sz w:val="24"/>
          <w:szCs w:val="24"/>
        </w:rPr>
      </w:pPr>
      <w:r w:rsidRPr="00EC424F">
        <w:rPr>
          <w:sz w:val="24"/>
          <w:szCs w:val="24"/>
        </w:rPr>
        <w:t xml:space="preserve">Процедура в </w:t>
      </w:r>
      <w:r w:rsidRPr="00D040A8">
        <w:rPr>
          <w:b/>
          <w:bCs/>
          <w:sz w:val="24"/>
          <w:szCs w:val="24"/>
        </w:rPr>
        <w:t>Парламента</w:t>
      </w:r>
      <w:r w:rsidRPr="00EC424F">
        <w:rPr>
          <w:sz w:val="24"/>
          <w:szCs w:val="24"/>
        </w:rPr>
        <w:t xml:space="preserve">: една от комисиите на </w:t>
      </w:r>
      <w:r w:rsidRPr="00254C3F">
        <w:rPr>
          <w:b/>
          <w:bCs/>
          <w:sz w:val="24"/>
          <w:szCs w:val="24"/>
        </w:rPr>
        <w:t>Парламента</w:t>
      </w:r>
      <w:r w:rsidRPr="00EC424F">
        <w:rPr>
          <w:sz w:val="24"/>
          <w:szCs w:val="24"/>
        </w:rPr>
        <w:t xml:space="preserve"> проучва предложението на </w:t>
      </w:r>
      <w:r w:rsidRPr="00254C3F">
        <w:rPr>
          <w:b/>
          <w:bCs/>
          <w:sz w:val="24"/>
          <w:szCs w:val="24"/>
        </w:rPr>
        <w:t>Комисията</w:t>
      </w:r>
      <w:r w:rsidRPr="00EC424F">
        <w:rPr>
          <w:sz w:val="24"/>
          <w:szCs w:val="24"/>
        </w:rPr>
        <w:t xml:space="preserve">. Изготвя се доклад от докладчик и текстът се записва в дневния ред на </w:t>
      </w:r>
      <w:r w:rsidRPr="00254C3F">
        <w:rPr>
          <w:b/>
          <w:bCs/>
          <w:sz w:val="24"/>
          <w:szCs w:val="24"/>
        </w:rPr>
        <w:t>Парламента</w:t>
      </w:r>
      <w:r w:rsidRPr="00EC424F">
        <w:rPr>
          <w:sz w:val="24"/>
          <w:szCs w:val="24"/>
        </w:rPr>
        <w:t>.</w:t>
      </w:r>
    </w:p>
    <w:p w14:paraId="5B49E870" w14:textId="77777777" w:rsidR="00280CF6" w:rsidRPr="00280CF6" w:rsidRDefault="00280CF6" w:rsidP="00280CF6">
      <w:pPr>
        <w:jc w:val="both"/>
        <w:rPr>
          <w:sz w:val="24"/>
          <w:szCs w:val="24"/>
        </w:rPr>
      </w:pPr>
    </w:p>
    <w:p w14:paraId="50E483AF" w14:textId="339B8149" w:rsidR="00D3595D" w:rsidRPr="00001485" w:rsidRDefault="000F59F7" w:rsidP="00D3595D">
      <w:pPr>
        <w:jc w:val="both"/>
        <w:rPr>
          <w:b/>
          <w:bCs/>
          <w:sz w:val="24"/>
          <w:szCs w:val="24"/>
        </w:rPr>
      </w:pPr>
      <w:r>
        <w:rPr>
          <w:b/>
          <w:bCs/>
          <w:sz w:val="24"/>
          <w:szCs w:val="24"/>
          <w:lang w:val="en-US"/>
        </w:rPr>
        <w:t>5</w:t>
      </w:r>
      <w:r w:rsidR="00D3595D" w:rsidRPr="00001485">
        <w:rPr>
          <w:b/>
          <w:bCs/>
          <w:sz w:val="24"/>
          <w:szCs w:val="24"/>
        </w:rPr>
        <w:t>. Приемане на директивата</w:t>
      </w:r>
    </w:p>
    <w:p w14:paraId="14212F3C" w14:textId="2AFA3143" w:rsidR="00D3595D" w:rsidRDefault="00D3595D" w:rsidP="00D3595D">
      <w:pPr>
        <w:ind w:firstLine="708"/>
        <w:jc w:val="both"/>
        <w:rPr>
          <w:sz w:val="24"/>
          <w:szCs w:val="24"/>
        </w:rPr>
      </w:pPr>
      <w:r w:rsidRPr="00D3595D">
        <w:rPr>
          <w:b/>
          <w:bCs/>
          <w:sz w:val="24"/>
          <w:szCs w:val="24"/>
        </w:rPr>
        <w:t>Директивата</w:t>
      </w:r>
      <w:r w:rsidRPr="00D3595D">
        <w:rPr>
          <w:sz w:val="24"/>
          <w:szCs w:val="24"/>
        </w:rPr>
        <w:t xml:space="preserve"> се приема, като се следва законодателна процедура. Тя е законодателен акт, приет от </w:t>
      </w:r>
      <w:r w:rsidRPr="00254C3F">
        <w:rPr>
          <w:b/>
          <w:bCs/>
          <w:sz w:val="24"/>
          <w:szCs w:val="24"/>
        </w:rPr>
        <w:t>Съвета</w:t>
      </w:r>
      <w:r w:rsidRPr="00D3595D">
        <w:rPr>
          <w:sz w:val="24"/>
          <w:szCs w:val="24"/>
        </w:rPr>
        <w:t xml:space="preserve"> и </w:t>
      </w:r>
      <w:r w:rsidRPr="00254C3F">
        <w:rPr>
          <w:b/>
          <w:bCs/>
          <w:sz w:val="24"/>
          <w:szCs w:val="24"/>
        </w:rPr>
        <w:t>Парламента</w:t>
      </w:r>
      <w:r w:rsidRPr="00D3595D">
        <w:rPr>
          <w:sz w:val="24"/>
          <w:szCs w:val="24"/>
        </w:rPr>
        <w:t xml:space="preserve"> съгласно обикновената законодателна процедура или само от </w:t>
      </w:r>
      <w:r w:rsidRPr="00254C3F">
        <w:rPr>
          <w:b/>
          <w:bCs/>
          <w:sz w:val="24"/>
          <w:szCs w:val="24"/>
        </w:rPr>
        <w:t>Съвета</w:t>
      </w:r>
      <w:r w:rsidRPr="00D3595D">
        <w:rPr>
          <w:sz w:val="24"/>
          <w:szCs w:val="24"/>
        </w:rPr>
        <w:t xml:space="preserve"> съгласно специални законодателни процедури; в този случай, </w:t>
      </w:r>
      <w:r w:rsidRPr="00254C3F">
        <w:rPr>
          <w:b/>
          <w:bCs/>
          <w:sz w:val="24"/>
          <w:szCs w:val="24"/>
        </w:rPr>
        <w:t>Парламентът</w:t>
      </w:r>
      <w:r w:rsidRPr="00D3595D">
        <w:rPr>
          <w:sz w:val="24"/>
          <w:szCs w:val="24"/>
        </w:rPr>
        <w:t xml:space="preserve"> следва да съгласи или да бъде консултиран.</w:t>
      </w:r>
    </w:p>
    <w:p w14:paraId="5B40AF74" w14:textId="5B97E65B" w:rsidR="00B84C9F" w:rsidRDefault="00B84C9F" w:rsidP="00D3595D">
      <w:pPr>
        <w:ind w:firstLine="708"/>
        <w:jc w:val="both"/>
        <w:rPr>
          <w:sz w:val="24"/>
          <w:szCs w:val="24"/>
        </w:rPr>
      </w:pPr>
    </w:p>
    <w:p w14:paraId="6D6D1C81" w14:textId="77777777" w:rsidR="00B84C9F" w:rsidRDefault="00B84C9F" w:rsidP="00D3595D">
      <w:pPr>
        <w:ind w:firstLine="708"/>
        <w:jc w:val="both"/>
        <w:rPr>
          <w:sz w:val="24"/>
          <w:szCs w:val="24"/>
        </w:rPr>
      </w:pPr>
    </w:p>
    <w:p w14:paraId="08B9B7CB" w14:textId="7ACF7FD6" w:rsidR="0091787F" w:rsidRPr="00001485" w:rsidRDefault="0091787F" w:rsidP="0091787F">
      <w:pPr>
        <w:pStyle w:val="ListParagraph"/>
        <w:numPr>
          <w:ilvl w:val="0"/>
          <w:numId w:val="10"/>
        </w:numPr>
        <w:jc w:val="both"/>
        <w:rPr>
          <w:b/>
          <w:bCs/>
          <w:sz w:val="24"/>
          <w:szCs w:val="24"/>
        </w:rPr>
      </w:pPr>
      <w:r w:rsidRPr="00001485">
        <w:rPr>
          <w:b/>
          <w:bCs/>
          <w:sz w:val="24"/>
          <w:szCs w:val="24"/>
        </w:rPr>
        <w:lastRenderedPageBreak/>
        <w:t>Участие на Европейския парламент</w:t>
      </w:r>
    </w:p>
    <w:p w14:paraId="0616B7E3" w14:textId="77777777" w:rsidR="0091787F" w:rsidRDefault="0091787F" w:rsidP="0091787F">
      <w:pPr>
        <w:ind w:firstLine="360"/>
        <w:jc w:val="both"/>
        <w:rPr>
          <w:sz w:val="24"/>
          <w:szCs w:val="24"/>
        </w:rPr>
      </w:pPr>
      <w:r w:rsidRPr="0091787F">
        <w:rPr>
          <w:sz w:val="24"/>
          <w:szCs w:val="24"/>
        </w:rPr>
        <w:t xml:space="preserve">Макар че директивата е нормативен акт на Съвета на ЕС според разглежданата област, </w:t>
      </w:r>
      <w:r w:rsidRPr="00B84C9F">
        <w:rPr>
          <w:b/>
          <w:bCs/>
          <w:sz w:val="24"/>
          <w:szCs w:val="24"/>
        </w:rPr>
        <w:t>Европейският парламент</w:t>
      </w:r>
      <w:r w:rsidRPr="0091787F">
        <w:rPr>
          <w:sz w:val="24"/>
          <w:szCs w:val="24"/>
        </w:rPr>
        <w:t>, съставен от представители на гражданите на Съюза, има повече или по-малко власт да се намеси при приемането на дадена директива. Той разполага с три основни процедури:</w:t>
      </w:r>
    </w:p>
    <w:p w14:paraId="6D744F8E" w14:textId="4564D9C1" w:rsidR="0091787F" w:rsidRDefault="0084528E" w:rsidP="0091787F">
      <w:pPr>
        <w:pStyle w:val="ListParagraph"/>
        <w:numPr>
          <w:ilvl w:val="0"/>
          <w:numId w:val="10"/>
        </w:numPr>
        <w:jc w:val="both"/>
        <w:rPr>
          <w:sz w:val="24"/>
          <w:szCs w:val="24"/>
        </w:rPr>
      </w:pPr>
      <w:r w:rsidRPr="0091787F">
        <w:rPr>
          <w:b/>
          <w:bCs/>
          <w:sz w:val="24"/>
          <w:szCs w:val="24"/>
        </w:rPr>
        <w:t>К</w:t>
      </w:r>
      <w:r w:rsidR="0091787F" w:rsidRPr="0091787F">
        <w:rPr>
          <w:b/>
          <w:bCs/>
          <w:sz w:val="24"/>
          <w:szCs w:val="24"/>
        </w:rPr>
        <w:t>онсултация</w:t>
      </w:r>
      <w:r>
        <w:rPr>
          <w:sz w:val="24"/>
          <w:szCs w:val="24"/>
          <w:lang w:val="en-US"/>
        </w:rPr>
        <w:t xml:space="preserve"> - </w:t>
      </w:r>
      <w:r w:rsidR="0091787F" w:rsidRPr="0091787F">
        <w:rPr>
          <w:sz w:val="24"/>
          <w:szCs w:val="24"/>
        </w:rPr>
        <w:t>Парламентът може да приеме, отхвърли или поиска поправка на предложението на Комисията</w:t>
      </w:r>
      <w:r w:rsidR="00B52322">
        <w:rPr>
          <w:sz w:val="24"/>
          <w:szCs w:val="24"/>
        </w:rPr>
        <w:t>.</w:t>
      </w:r>
    </w:p>
    <w:p w14:paraId="7E3C7580" w14:textId="3FA8B37F" w:rsidR="0091787F" w:rsidRDefault="0084528E" w:rsidP="0091787F">
      <w:pPr>
        <w:pStyle w:val="ListParagraph"/>
        <w:numPr>
          <w:ilvl w:val="0"/>
          <w:numId w:val="10"/>
        </w:numPr>
        <w:jc w:val="both"/>
        <w:rPr>
          <w:sz w:val="24"/>
          <w:szCs w:val="24"/>
        </w:rPr>
      </w:pPr>
      <w:r w:rsidRPr="0091787F">
        <w:rPr>
          <w:b/>
          <w:bCs/>
          <w:sz w:val="24"/>
          <w:szCs w:val="24"/>
        </w:rPr>
        <w:t>О</w:t>
      </w:r>
      <w:r w:rsidR="0091787F" w:rsidRPr="0091787F">
        <w:rPr>
          <w:b/>
          <w:bCs/>
          <w:sz w:val="24"/>
          <w:szCs w:val="24"/>
        </w:rPr>
        <w:t>добрение</w:t>
      </w:r>
      <w:r>
        <w:rPr>
          <w:sz w:val="24"/>
          <w:szCs w:val="24"/>
          <w:lang w:val="en-US"/>
        </w:rPr>
        <w:t xml:space="preserve"> - </w:t>
      </w:r>
      <w:r w:rsidR="0091787F" w:rsidRPr="0091787F">
        <w:rPr>
          <w:sz w:val="24"/>
          <w:szCs w:val="24"/>
        </w:rPr>
        <w:t>Парламентът може да приеме или отхвърли</w:t>
      </w:r>
      <w:r>
        <w:rPr>
          <w:sz w:val="24"/>
          <w:szCs w:val="24"/>
          <w:lang w:val="en-US"/>
        </w:rPr>
        <w:t xml:space="preserve"> </w:t>
      </w:r>
      <w:r w:rsidR="0091787F" w:rsidRPr="0091787F">
        <w:rPr>
          <w:sz w:val="24"/>
          <w:szCs w:val="24"/>
        </w:rPr>
        <w:t>предложението на Комисията, но не може да поиска поправка.</w:t>
      </w:r>
    </w:p>
    <w:p w14:paraId="6D104916" w14:textId="2F12B156" w:rsidR="0091787F" w:rsidRPr="0091787F" w:rsidRDefault="00D86EB0" w:rsidP="0091787F">
      <w:pPr>
        <w:pStyle w:val="ListParagraph"/>
        <w:numPr>
          <w:ilvl w:val="0"/>
          <w:numId w:val="10"/>
        </w:numPr>
        <w:jc w:val="both"/>
        <w:rPr>
          <w:sz w:val="24"/>
          <w:szCs w:val="24"/>
        </w:rPr>
      </w:pPr>
      <w:r>
        <w:rPr>
          <w:b/>
          <w:bCs/>
          <w:sz w:val="24"/>
          <w:szCs w:val="24"/>
        </w:rPr>
        <w:t>С</w:t>
      </w:r>
      <w:r w:rsidR="0091787F" w:rsidRPr="0091787F">
        <w:rPr>
          <w:b/>
          <w:bCs/>
          <w:sz w:val="24"/>
          <w:szCs w:val="24"/>
        </w:rPr>
        <w:t>ъвместно вземане на решения</w:t>
      </w:r>
      <w:r w:rsidR="0084528E">
        <w:rPr>
          <w:sz w:val="24"/>
          <w:szCs w:val="24"/>
          <w:lang w:val="en-US"/>
        </w:rPr>
        <w:t xml:space="preserve"> - </w:t>
      </w:r>
      <w:r w:rsidR="0091787F" w:rsidRPr="0091787F">
        <w:rPr>
          <w:sz w:val="24"/>
          <w:szCs w:val="24"/>
        </w:rPr>
        <w:t>Парламентът не се ограничава с изразяване на мнение, а работи със Съвета по изработване на текста.</w:t>
      </w:r>
    </w:p>
    <w:p w14:paraId="22CB3F7C" w14:textId="77DAF0E0" w:rsidR="0091787F" w:rsidRDefault="0091787F" w:rsidP="0091787F">
      <w:pPr>
        <w:ind w:firstLine="360"/>
        <w:jc w:val="both"/>
        <w:rPr>
          <w:sz w:val="24"/>
          <w:szCs w:val="24"/>
        </w:rPr>
      </w:pPr>
      <w:r w:rsidRPr="0091787F">
        <w:rPr>
          <w:sz w:val="24"/>
          <w:szCs w:val="24"/>
        </w:rPr>
        <w:t xml:space="preserve">Съветът на ЕС проучва предложения текст. </w:t>
      </w:r>
      <w:r w:rsidRPr="00962878">
        <w:rPr>
          <w:sz w:val="24"/>
          <w:szCs w:val="24"/>
          <w:highlight w:val="yellow"/>
        </w:rPr>
        <w:t>Според третираната област и следваната процедура, той може или трябва да държи сметка за мнението на Парламента.</w:t>
      </w:r>
      <w:r w:rsidRPr="0091787F">
        <w:rPr>
          <w:sz w:val="24"/>
          <w:szCs w:val="24"/>
        </w:rPr>
        <w:t xml:space="preserve"> </w:t>
      </w:r>
      <w:r w:rsidRPr="00B84C9F">
        <w:rPr>
          <w:b/>
          <w:bCs/>
          <w:sz w:val="24"/>
          <w:szCs w:val="24"/>
        </w:rPr>
        <w:t>Веднъж приет от Съвета, текстът става директива в тесния смисъл на този термин.</w:t>
      </w:r>
    </w:p>
    <w:p w14:paraId="5109F9BC" w14:textId="2BDFA53F" w:rsidR="00FA3F73" w:rsidRPr="00001485" w:rsidRDefault="00FA3F73" w:rsidP="00FA3F73">
      <w:pPr>
        <w:pStyle w:val="ListParagraph"/>
        <w:numPr>
          <w:ilvl w:val="0"/>
          <w:numId w:val="12"/>
        </w:numPr>
        <w:jc w:val="both"/>
        <w:rPr>
          <w:b/>
          <w:bCs/>
          <w:sz w:val="24"/>
          <w:szCs w:val="24"/>
        </w:rPr>
      </w:pPr>
      <w:r w:rsidRPr="00001485">
        <w:rPr>
          <w:b/>
          <w:bCs/>
          <w:sz w:val="24"/>
          <w:szCs w:val="24"/>
        </w:rPr>
        <w:t>Транспониране</w:t>
      </w:r>
    </w:p>
    <w:p w14:paraId="3DD33C40" w14:textId="217CFE1F" w:rsidR="00FA3F73" w:rsidRDefault="00FA3F73" w:rsidP="00FA3F73">
      <w:pPr>
        <w:ind w:firstLine="360"/>
        <w:jc w:val="both"/>
        <w:rPr>
          <w:sz w:val="24"/>
          <w:szCs w:val="24"/>
        </w:rPr>
      </w:pPr>
      <w:r w:rsidRPr="00FA3F73">
        <w:rPr>
          <w:sz w:val="24"/>
          <w:szCs w:val="24"/>
        </w:rPr>
        <w:t xml:space="preserve">За да породи действие дадена директива на национално равнище, държавите от ЕС трябва да приемат закон, с който да я транспонират. </w:t>
      </w:r>
      <w:r w:rsidRPr="00962878">
        <w:rPr>
          <w:sz w:val="24"/>
          <w:szCs w:val="24"/>
          <w:highlight w:val="yellow"/>
        </w:rPr>
        <w:t xml:space="preserve">С тази национална мярка трябва да се постигнат целите, определени от директивата. Националните органи трябва да съобщят тези мерки на </w:t>
      </w:r>
      <w:hyperlink r:id="rId12" w:history="1">
        <w:r w:rsidRPr="00962878">
          <w:rPr>
            <w:rStyle w:val="Hyperlink"/>
            <w:sz w:val="24"/>
            <w:szCs w:val="24"/>
            <w:highlight w:val="yellow"/>
          </w:rPr>
          <w:t>Европейската комисия</w:t>
        </w:r>
      </w:hyperlink>
      <w:r w:rsidRPr="00962878">
        <w:rPr>
          <w:sz w:val="24"/>
          <w:szCs w:val="24"/>
          <w:highlight w:val="yellow"/>
        </w:rPr>
        <w:t xml:space="preserve">. Транспонирането трябва да се изпълни до крайния срок, определен при приемането на директивата (обикновено в рамките на 2 години). Когато дадена държава не транспонира някоя директива, </w:t>
      </w:r>
      <w:r w:rsidRPr="00962878">
        <w:rPr>
          <w:b/>
          <w:bCs/>
          <w:sz w:val="24"/>
          <w:szCs w:val="24"/>
          <w:highlight w:val="yellow"/>
        </w:rPr>
        <w:t>Комисията</w:t>
      </w:r>
      <w:r w:rsidRPr="00962878">
        <w:rPr>
          <w:sz w:val="24"/>
          <w:szCs w:val="24"/>
          <w:highlight w:val="yellow"/>
        </w:rPr>
        <w:t xml:space="preserve"> може да започне процедура за нарушение и да заведе дело срещу тази държава пред </w:t>
      </w:r>
      <w:hyperlink r:id="rId13" w:history="1">
        <w:r w:rsidRPr="00962878">
          <w:rPr>
            <w:rStyle w:val="Hyperlink"/>
            <w:sz w:val="24"/>
            <w:szCs w:val="24"/>
            <w:highlight w:val="yellow"/>
          </w:rPr>
          <w:t>Съда на ЕС</w:t>
        </w:r>
      </w:hyperlink>
      <w:r w:rsidRPr="00962878">
        <w:rPr>
          <w:sz w:val="24"/>
          <w:szCs w:val="24"/>
          <w:highlight w:val="yellow"/>
        </w:rPr>
        <w:t xml:space="preserve"> (неизпълнението на съдебното решение в този случай може да доведе до нова присъда, по силата на която могат да бъдат наложени глоби).</w:t>
      </w:r>
    </w:p>
    <w:p w14:paraId="230DC7E7" w14:textId="3582EBE6" w:rsidR="00FA3F73" w:rsidRPr="00001485" w:rsidRDefault="00FA3F73" w:rsidP="00FA3F73">
      <w:pPr>
        <w:pStyle w:val="ListParagraph"/>
        <w:numPr>
          <w:ilvl w:val="0"/>
          <w:numId w:val="12"/>
        </w:numPr>
        <w:jc w:val="both"/>
        <w:rPr>
          <w:rStyle w:val="bold"/>
          <w:b/>
          <w:bCs/>
          <w:sz w:val="28"/>
          <w:szCs w:val="28"/>
        </w:rPr>
      </w:pPr>
      <w:r w:rsidRPr="00001485">
        <w:rPr>
          <w:rStyle w:val="bold"/>
          <w:b/>
          <w:bCs/>
          <w:sz w:val="24"/>
          <w:szCs w:val="24"/>
        </w:rPr>
        <w:t>Борба със закъсненията при транспониране</w:t>
      </w:r>
    </w:p>
    <w:p w14:paraId="7AA0A4B4" w14:textId="36382445" w:rsidR="00FA3F73" w:rsidRDefault="00FA3F73" w:rsidP="00FA3F73">
      <w:pPr>
        <w:ind w:firstLine="360"/>
        <w:jc w:val="both"/>
        <w:rPr>
          <w:sz w:val="24"/>
          <w:szCs w:val="24"/>
        </w:rPr>
      </w:pPr>
      <w:r w:rsidRPr="00FA3F73">
        <w:rPr>
          <w:sz w:val="24"/>
          <w:szCs w:val="24"/>
        </w:rPr>
        <w:t xml:space="preserve">Късното транспониране на директивите в държавите от ЕС остава постоянен проблем, който пречи на гражданите и предприятията да се възползват от най-осезаемите ползи от законодателството на ЕС. ЕС си е поставил за цел да намали дефицита при транспонирането до 1 %. </w:t>
      </w:r>
      <w:hyperlink r:id="rId14" w:history="1">
        <w:r w:rsidRPr="00287293">
          <w:rPr>
            <w:rStyle w:val="Hyperlink"/>
            <w:sz w:val="24"/>
            <w:szCs w:val="24"/>
            <w:highlight w:val="yellow"/>
          </w:rPr>
          <w:t>От таблицата за транспони</w:t>
        </w:r>
        <w:r w:rsidRPr="00287293">
          <w:rPr>
            <w:rStyle w:val="Hyperlink"/>
            <w:sz w:val="24"/>
            <w:szCs w:val="24"/>
            <w:highlight w:val="yellow"/>
          </w:rPr>
          <w:t>р</w:t>
        </w:r>
        <w:r w:rsidRPr="00287293">
          <w:rPr>
            <w:rStyle w:val="Hyperlink"/>
            <w:sz w:val="24"/>
            <w:szCs w:val="24"/>
            <w:highlight w:val="yellow"/>
          </w:rPr>
          <w:t>ане на директивите на ЕС относно единния пазар</w:t>
        </w:r>
      </w:hyperlink>
      <w:r w:rsidRPr="00287293">
        <w:rPr>
          <w:sz w:val="24"/>
          <w:szCs w:val="24"/>
          <w:highlight w:val="yellow"/>
        </w:rPr>
        <w:t>, публикувана от Европейската комисия през декември 201</w:t>
      </w:r>
      <w:r w:rsidR="00287293">
        <w:rPr>
          <w:sz w:val="24"/>
          <w:szCs w:val="24"/>
          <w:highlight w:val="yellow"/>
          <w:lang w:val="en-US"/>
        </w:rPr>
        <w:t>9</w:t>
      </w:r>
      <w:r w:rsidRPr="00287293">
        <w:rPr>
          <w:sz w:val="24"/>
          <w:szCs w:val="24"/>
          <w:highlight w:val="yellow"/>
        </w:rPr>
        <w:t xml:space="preserve"> г., се вижда, че </w:t>
      </w:r>
      <w:r w:rsidR="00287293">
        <w:rPr>
          <w:sz w:val="24"/>
          <w:szCs w:val="24"/>
          <w:highlight w:val="yellow"/>
          <w:lang w:val="en-US"/>
        </w:rPr>
        <w:t>26</w:t>
      </w:r>
      <w:r w:rsidRPr="00287293">
        <w:rPr>
          <w:sz w:val="24"/>
          <w:szCs w:val="24"/>
          <w:highlight w:val="yellow"/>
        </w:rPr>
        <w:t xml:space="preserve"> държави</w:t>
      </w:r>
      <w:r w:rsidR="00287293">
        <w:rPr>
          <w:sz w:val="24"/>
          <w:szCs w:val="24"/>
          <w:highlight w:val="yellow"/>
          <w:lang w:val="en-US"/>
        </w:rPr>
        <w:t xml:space="preserve"> </w:t>
      </w:r>
      <w:r w:rsidRPr="00287293">
        <w:rPr>
          <w:sz w:val="24"/>
          <w:szCs w:val="24"/>
          <w:highlight w:val="yellow"/>
        </w:rPr>
        <w:t xml:space="preserve">са били в състояние да постигнат тази цел, а само </w:t>
      </w:r>
      <w:r w:rsidR="00287293">
        <w:rPr>
          <w:sz w:val="24"/>
          <w:szCs w:val="24"/>
          <w:highlight w:val="yellow"/>
          <w:lang w:val="en-US"/>
        </w:rPr>
        <w:t>2</w:t>
      </w:r>
      <w:r w:rsidRPr="00287293">
        <w:rPr>
          <w:sz w:val="24"/>
          <w:szCs w:val="24"/>
          <w:highlight w:val="yellow"/>
        </w:rPr>
        <w:t xml:space="preserve"> държав</w:t>
      </w:r>
      <w:r w:rsidR="00287293">
        <w:rPr>
          <w:sz w:val="24"/>
          <w:szCs w:val="24"/>
          <w:highlight w:val="yellow"/>
        </w:rPr>
        <w:t xml:space="preserve">и не са </w:t>
      </w:r>
      <w:r w:rsidRPr="00287293">
        <w:rPr>
          <w:sz w:val="24"/>
          <w:szCs w:val="24"/>
          <w:highlight w:val="yellow"/>
        </w:rPr>
        <w:t>усп</w:t>
      </w:r>
      <w:r w:rsidR="00287293">
        <w:rPr>
          <w:sz w:val="24"/>
          <w:szCs w:val="24"/>
          <w:highlight w:val="yellow"/>
        </w:rPr>
        <w:t>е</w:t>
      </w:r>
      <w:r w:rsidRPr="00287293">
        <w:rPr>
          <w:sz w:val="24"/>
          <w:szCs w:val="24"/>
          <w:highlight w:val="yellow"/>
        </w:rPr>
        <w:t>л</w:t>
      </w:r>
      <w:r w:rsidR="00287293">
        <w:rPr>
          <w:sz w:val="24"/>
          <w:szCs w:val="24"/>
          <w:highlight w:val="yellow"/>
        </w:rPr>
        <w:t>и</w:t>
      </w:r>
      <w:r w:rsidRPr="00287293">
        <w:rPr>
          <w:sz w:val="24"/>
          <w:szCs w:val="24"/>
          <w:highlight w:val="yellow"/>
        </w:rPr>
        <w:t xml:space="preserve"> да постигн</w:t>
      </w:r>
      <w:r w:rsidR="00287293">
        <w:rPr>
          <w:sz w:val="24"/>
          <w:szCs w:val="24"/>
          <w:highlight w:val="yellow"/>
        </w:rPr>
        <w:t>ат</w:t>
      </w:r>
      <w:r w:rsidRPr="00287293">
        <w:rPr>
          <w:sz w:val="24"/>
          <w:szCs w:val="24"/>
          <w:highlight w:val="yellow"/>
        </w:rPr>
        <w:t xml:space="preserve"> дефицит на съответствие на националното законодателство под </w:t>
      </w:r>
      <w:r w:rsidR="00A34FB6">
        <w:rPr>
          <w:sz w:val="24"/>
          <w:szCs w:val="24"/>
          <w:highlight w:val="yellow"/>
        </w:rPr>
        <w:t>1</w:t>
      </w:r>
      <w:r w:rsidRPr="00287293">
        <w:rPr>
          <w:sz w:val="24"/>
          <w:szCs w:val="24"/>
          <w:highlight w:val="yellow"/>
        </w:rPr>
        <w:t>%</w:t>
      </w:r>
      <w:r w:rsidR="00CA3984">
        <w:rPr>
          <w:sz w:val="24"/>
          <w:szCs w:val="24"/>
        </w:rPr>
        <w:t>.</w:t>
      </w:r>
    </w:p>
    <w:p w14:paraId="7744B2FB" w14:textId="3D4703F1" w:rsidR="0091787F" w:rsidRPr="00001485" w:rsidRDefault="00FA3F73" w:rsidP="0091787F">
      <w:pPr>
        <w:pStyle w:val="ListParagraph"/>
        <w:numPr>
          <w:ilvl w:val="0"/>
          <w:numId w:val="12"/>
        </w:numPr>
        <w:jc w:val="both"/>
        <w:rPr>
          <w:b/>
          <w:bCs/>
          <w:sz w:val="24"/>
          <w:szCs w:val="24"/>
        </w:rPr>
      </w:pPr>
      <w:r w:rsidRPr="00001485">
        <w:rPr>
          <w:b/>
          <w:bCs/>
          <w:sz w:val="24"/>
          <w:szCs w:val="24"/>
        </w:rPr>
        <w:t>Въвеждане в практиката</w:t>
      </w:r>
    </w:p>
    <w:p w14:paraId="30683464" w14:textId="2BD63F0F" w:rsidR="00531DCB" w:rsidRDefault="00B52322" w:rsidP="00B06FC9">
      <w:pPr>
        <w:ind w:firstLine="360"/>
        <w:jc w:val="both"/>
        <w:rPr>
          <w:sz w:val="24"/>
          <w:szCs w:val="24"/>
        </w:rPr>
      </w:pPr>
      <w:r w:rsidRPr="00B52322">
        <w:rPr>
          <w:sz w:val="24"/>
          <w:szCs w:val="24"/>
        </w:rPr>
        <w:t xml:space="preserve">Известно е, че не всички влезли в сила закони се прилагат задоволително. За пример ще посочим ограничението на скоростта по пътищата, чието прилагане и спазване отнема повече от 100 г. Въвеждането на директивите среща подобни проблеми. Поради това съображение в най-новите директиви се обявяват измерими и разположени във времето показатели, които да осигурят тяхното ефективно приложение. Тази практика е </w:t>
      </w:r>
      <w:r w:rsidRPr="00B52322">
        <w:rPr>
          <w:sz w:val="24"/>
          <w:szCs w:val="24"/>
        </w:rPr>
        <w:lastRenderedPageBreak/>
        <w:t>особено отчетлива в областта на опазване на околната среда.</w:t>
      </w:r>
      <w:r>
        <w:rPr>
          <w:sz w:val="24"/>
          <w:szCs w:val="24"/>
        </w:rPr>
        <w:t xml:space="preserve"> </w:t>
      </w:r>
      <w:r w:rsidRPr="00B52322">
        <w:rPr>
          <w:sz w:val="24"/>
          <w:szCs w:val="24"/>
        </w:rPr>
        <w:t>За постигането на целите държавите членки се сблъскват с проблема за цената на законодателството за тяхната икономика.</w:t>
      </w:r>
      <w:r w:rsidR="003E4398">
        <w:rPr>
          <w:sz w:val="24"/>
          <w:szCs w:val="24"/>
        </w:rPr>
        <w:t xml:space="preserve"> </w:t>
      </w:r>
      <w:r w:rsidRPr="00B52322">
        <w:rPr>
          <w:sz w:val="24"/>
          <w:szCs w:val="24"/>
        </w:rPr>
        <w:t xml:space="preserve">Констатира се, че цената на въвеждането (транспонирането) на законодателството на Съюза варира в значителна степен за различните държави. Според </w:t>
      </w:r>
      <w:r w:rsidRPr="00B84C9F">
        <w:rPr>
          <w:b/>
          <w:bCs/>
          <w:sz w:val="24"/>
          <w:szCs w:val="24"/>
        </w:rPr>
        <w:t>Комисията</w:t>
      </w:r>
      <w:r w:rsidRPr="00B52322">
        <w:rPr>
          <w:sz w:val="24"/>
          <w:szCs w:val="24"/>
        </w:rPr>
        <w:t xml:space="preserve"> годишната цена на въвеждане на Холандия може да се приеме за представителна (3,5% от БНП).</w:t>
      </w:r>
      <w:r>
        <w:rPr>
          <w:sz w:val="24"/>
          <w:szCs w:val="24"/>
        </w:rPr>
        <w:t xml:space="preserve"> </w:t>
      </w:r>
      <w:r w:rsidRPr="00B52322">
        <w:rPr>
          <w:sz w:val="24"/>
          <w:szCs w:val="24"/>
        </w:rPr>
        <w:t xml:space="preserve">За да подобри положението и разпространи най-добрите практики, </w:t>
      </w:r>
      <w:r w:rsidRPr="00B84C9F">
        <w:rPr>
          <w:b/>
          <w:bCs/>
          <w:sz w:val="24"/>
          <w:szCs w:val="24"/>
        </w:rPr>
        <w:t>Комисията</w:t>
      </w:r>
      <w:r w:rsidRPr="00B52322">
        <w:rPr>
          <w:sz w:val="24"/>
          <w:szCs w:val="24"/>
        </w:rPr>
        <w:t xml:space="preserve"> предложи програма „добро законотворчество“, която има за цел да намали значително цената на въвеждане в практиката.</w:t>
      </w:r>
      <w:r w:rsidR="003E4398">
        <w:rPr>
          <w:sz w:val="24"/>
          <w:szCs w:val="24"/>
        </w:rPr>
        <w:t xml:space="preserve"> </w:t>
      </w:r>
      <w:r w:rsidR="003E4398" w:rsidRPr="00781E58">
        <w:rPr>
          <w:sz w:val="24"/>
          <w:szCs w:val="24"/>
          <w:highlight w:val="yellow"/>
        </w:rPr>
        <w:t xml:space="preserve">Тя </w:t>
      </w:r>
      <w:r w:rsidRPr="00781E58">
        <w:rPr>
          <w:sz w:val="24"/>
          <w:szCs w:val="24"/>
          <w:highlight w:val="yellow"/>
        </w:rPr>
        <w:t>си е поставила амбициозната цел да намали с една четвърт неоправданите разходи до 2012 г. Тази цел беше обявена преди кризата от 2008 г. За повечето от европейските ръководители днес е ясно, че тази цел трябва да се надмине и че въпросът за подобряване на процеса за взимане на решения и въвеждането им в практиката придобива първостепенна важност.</w:t>
      </w:r>
    </w:p>
    <w:p w14:paraId="4C32FA58" w14:textId="77777777" w:rsidR="00B06FC9" w:rsidRPr="00B06FC9" w:rsidRDefault="00B06FC9" w:rsidP="00B06FC9">
      <w:pPr>
        <w:jc w:val="both"/>
        <w:rPr>
          <w:sz w:val="24"/>
          <w:szCs w:val="24"/>
        </w:rPr>
      </w:pPr>
    </w:p>
    <w:p w14:paraId="62EBDEFF" w14:textId="3D5840DA" w:rsidR="00BC7336" w:rsidRDefault="000F59F7" w:rsidP="00BC7336">
      <w:pPr>
        <w:rPr>
          <w:b/>
          <w:bCs/>
          <w:sz w:val="24"/>
          <w:szCs w:val="24"/>
          <w:lang w:val="en-US"/>
        </w:rPr>
      </w:pPr>
      <w:r w:rsidRPr="000F59F7">
        <w:rPr>
          <w:b/>
          <w:bCs/>
          <w:sz w:val="24"/>
          <w:szCs w:val="24"/>
          <w:lang w:val="en-US"/>
        </w:rPr>
        <w:t>6</w:t>
      </w:r>
      <w:r w:rsidR="00BC7336" w:rsidRPr="000F59F7">
        <w:rPr>
          <w:b/>
          <w:bCs/>
          <w:sz w:val="24"/>
          <w:szCs w:val="24"/>
        </w:rPr>
        <w:t>. Основни особености на директивата 2002</w:t>
      </w:r>
      <w:r w:rsidR="00BC7336" w:rsidRPr="000F59F7">
        <w:rPr>
          <w:b/>
          <w:bCs/>
          <w:sz w:val="24"/>
          <w:szCs w:val="24"/>
          <w:lang w:val="en-US"/>
        </w:rPr>
        <w:t>/58/CE</w:t>
      </w:r>
    </w:p>
    <w:p w14:paraId="325E4595" w14:textId="50AAB59C" w:rsidR="00C322E6" w:rsidRDefault="00C81415" w:rsidP="009C27DF">
      <w:pPr>
        <w:jc w:val="both"/>
        <w:rPr>
          <w:sz w:val="24"/>
          <w:szCs w:val="24"/>
        </w:rPr>
      </w:pPr>
      <w:r>
        <w:rPr>
          <w:sz w:val="24"/>
          <w:szCs w:val="24"/>
        </w:rPr>
        <w:t xml:space="preserve">Тази директива е за ЗЛД при електронните комуникации, като по-ясно покрива Интернет-пространството и поставя ограничения върху използването му за комерсиални цели и реклама чрез е-поща </w:t>
      </w:r>
      <w:r>
        <w:rPr>
          <w:sz w:val="24"/>
          <w:szCs w:val="24"/>
          <w:lang w:val="en-US"/>
        </w:rPr>
        <w:t>(</w:t>
      </w:r>
      <w:r>
        <w:rPr>
          <w:sz w:val="24"/>
          <w:szCs w:val="24"/>
        </w:rPr>
        <w:t>спам</w:t>
      </w:r>
      <w:r>
        <w:rPr>
          <w:sz w:val="24"/>
          <w:szCs w:val="24"/>
          <w:lang w:val="en-US"/>
        </w:rPr>
        <w:t>).</w:t>
      </w:r>
      <w:r w:rsidR="00C322E6">
        <w:rPr>
          <w:sz w:val="24"/>
          <w:szCs w:val="24"/>
          <w:lang w:val="en-US"/>
        </w:rPr>
        <w:t xml:space="preserve"> </w:t>
      </w:r>
      <w:r w:rsidR="00C322E6">
        <w:rPr>
          <w:sz w:val="24"/>
          <w:szCs w:val="24"/>
        </w:rPr>
        <w:t>Създадена от Европейския парламент и Съвета на 12 юли 2002г.</w:t>
      </w:r>
    </w:p>
    <w:p w14:paraId="4005F751" w14:textId="6B4ADF42" w:rsidR="00C322E6" w:rsidRPr="009C27DF" w:rsidRDefault="00C322E6" w:rsidP="00C322E6">
      <w:pPr>
        <w:jc w:val="both"/>
        <w:rPr>
          <w:i/>
          <w:iCs/>
          <w:sz w:val="24"/>
          <w:szCs w:val="24"/>
          <w:lang w:val="en-US"/>
        </w:rPr>
      </w:pPr>
      <w:r w:rsidRPr="009C27DF">
        <w:rPr>
          <w:i/>
          <w:iCs/>
          <w:sz w:val="24"/>
          <w:szCs w:val="24"/>
        </w:rPr>
        <w:t>Дати</w:t>
      </w:r>
      <w:r w:rsidRPr="009C27DF">
        <w:rPr>
          <w:i/>
          <w:iCs/>
          <w:sz w:val="24"/>
          <w:szCs w:val="24"/>
          <w:lang w:val="en-US"/>
        </w:rPr>
        <w:t>:</w:t>
      </w:r>
    </w:p>
    <w:p w14:paraId="6EA530E7" w14:textId="14B68751" w:rsidR="00C322E6" w:rsidRPr="00C322E6" w:rsidRDefault="00C322E6" w:rsidP="00C322E6">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Дата на документа:</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12/07/2002</w:t>
      </w:r>
    </w:p>
    <w:p w14:paraId="2DE0F072" w14:textId="6E65ED2B" w:rsidR="00C322E6" w:rsidRPr="00C322E6" w:rsidRDefault="00C322E6" w:rsidP="00C322E6">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Дата на влизане в сила:</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31/07/2002</w:t>
      </w:r>
    </w:p>
    <w:p w14:paraId="0AF54C8B" w14:textId="4222D80A" w:rsidR="00C322E6" w:rsidRPr="00C322E6" w:rsidRDefault="00C322E6" w:rsidP="00C322E6">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Краен срок:</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30/10/2003</w:t>
      </w:r>
    </w:p>
    <w:p w14:paraId="3263D25A" w14:textId="257DC89E" w:rsidR="00C322E6" w:rsidRDefault="00C322E6" w:rsidP="00C322E6">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Дата на изтичане на валидността:</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Няма крайна дата</w:t>
      </w:r>
    </w:p>
    <w:p w14:paraId="65862A97" w14:textId="73F9ABA0" w:rsidR="00C322E6" w:rsidRDefault="00C322E6" w:rsidP="00C322E6">
      <w:pPr>
        <w:spacing w:after="0" w:line="240" w:lineRule="auto"/>
        <w:jc w:val="both"/>
        <w:rPr>
          <w:rFonts w:eastAsia="Times New Roman" w:cstheme="minorHAnsi"/>
          <w:sz w:val="24"/>
          <w:szCs w:val="24"/>
          <w:lang w:eastAsia="bg-BG"/>
        </w:rPr>
      </w:pPr>
    </w:p>
    <w:p w14:paraId="4C39FF40" w14:textId="085F23F8" w:rsidR="00C322E6" w:rsidRPr="009C27DF" w:rsidRDefault="00C322E6" w:rsidP="00C322E6">
      <w:pPr>
        <w:spacing w:after="0" w:line="240" w:lineRule="auto"/>
        <w:jc w:val="both"/>
        <w:rPr>
          <w:rFonts w:eastAsia="Times New Roman" w:cstheme="minorHAnsi"/>
          <w:i/>
          <w:iCs/>
          <w:sz w:val="24"/>
          <w:szCs w:val="24"/>
          <w:lang w:val="en-US" w:eastAsia="bg-BG"/>
        </w:rPr>
      </w:pPr>
      <w:r w:rsidRPr="009C27DF">
        <w:rPr>
          <w:rFonts w:eastAsia="Times New Roman" w:cstheme="minorHAnsi"/>
          <w:i/>
          <w:iCs/>
          <w:sz w:val="24"/>
          <w:szCs w:val="24"/>
          <w:lang w:eastAsia="bg-BG"/>
        </w:rPr>
        <w:t>Обща информация</w:t>
      </w:r>
      <w:r w:rsidRPr="009C27DF">
        <w:rPr>
          <w:rFonts w:eastAsia="Times New Roman" w:cstheme="minorHAnsi"/>
          <w:i/>
          <w:iCs/>
          <w:sz w:val="24"/>
          <w:szCs w:val="24"/>
          <w:lang w:val="en-US" w:eastAsia="bg-BG"/>
        </w:rPr>
        <w:t>:</w:t>
      </w:r>
    </w:p>
    <w:p w14:paraId="0AB32C48" w14:textId="5683D70C" w:rsidR="00C322E6" w:rsidRPr="00C322E6" w:rsidRDefault="00C322E6" w:rsidP="00C322E6">
      <w:pPr>
        <w:pStyle w:val="ListParagraph"/>
        <w:numPr>
          <w:ilvl w:val="0"/>
          <w:numId w:val="15"/>
        </w:numPr>
        <w:spacing w:after="0" w:line="240" w:lineRule="auto"/>
        <w:rPr>
          <w:rFonts w:eastAsia="Times New Roman" w:cstheme="minorHAnsi"/>
          <w:sz w:val="24"/>
          <w:szCs w:val="24"/>
          <w:lang w:eastAsia="bg-BG"/>
        </w:rPr>
      </w:pPr>
      <w:r w:rsidRPr="00C322E6">
        <w:rPr>
          <w:rFonts w:eastAsia="Times New Roman" w:cstheme="minorHAnsi"/>
          <w:sz w:val="24"/>
          <w:szCs w:val="24"/>
          <w:lang w:eastAsia="bg-BG"/>
        </w:rPr>
        <w:t>Автор:</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 xml:space="preserve">Европейски парламент, Съвет на Европейския съюз </w:t>
      </w:r>
    </w:p>
    <w:p w14:paraId="44F3A3A1" w14:textId="1D5A8222" w:rsidR="00C322E6" w:rsidRDefault="00C322E6" w:rsidP="00C322E6">
      <w:pPr>
        <w:pStyle w:val="ListParagraph"/>
        <w:numPr>
          <w:ilvl w:val="0"/>
          <w:numId w:val="15"/>
        </w:numPr>
        <w:spacing w:after="0" w:line="240" w:lineRule="auto"/>
        <w:rPr>
          <w:rFonts w:eastAsia="Times New Roman" w:cstheme="minorHAnsi"/>
          <w:sz w:val="24"/>
          <w:szCs w:val="24"/>
          <w:lang w:eastAsia="bg-BG"/>
        </w:rPr>
      </w:pPr>
      <w:r w:rsidRPr="00C322E6">
        <w:rPr>
          <w:rFonts w:eastAsia="Times New Roman" w:cstheme="minorHAnsi"/>
          <w:sz w:val="24"/>
          <w:szCs w:val="24"/>
          <w:lang w:eastAsia="bg-BG"/>
        </w:rPr>
        <w:t>Адресат на акта:</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Петнадесетте държави-членки: Белгия, Дания, Германия, Ирландия, Гърция, Испания, Франция, Италия, Люксембург, Нидерландия, Австрия, Португалия, Финландия, Швеция, Обединеното кралство</w:t>
      </w:r>
    </w:p>
    <w:p w14:paraId="343F16FD" w14:textId="12035DBA" w:rsidR="00C322E6" w:rsidRDefault="00C322E6" w:rsidP="00C322E6">
      <w:pPr>
        <w:spacing w:after="0" w:line="240" w:lineRule="auto"/>
        <w:rPr>
          <w:rFonts w:eastAsia="Times New Roman" w:cstheme="minorHAnsi"/>
          <w:sz w:val="24"/>
          <w:szCs w:val="24"/>
          <w:lang w:eastAsia="bg-BG"/>
        </w:rPr>
      </w:pPr>
    </w:p>
    <w:p w14:paraId="262F71ED" w14:textId="655BFDD7" w:rsidR="00C322E6" w:rsidRDefault="00C322E6" w:rsidP="00C322E6">
      <w:pPr>
        <w:spacing w:after="0" w:line="240" w:lineRule="auto"/>
        <w:rPr>
          <w:rFonts w:eastAsia="Times New Roman" w:cstheme="minorHAnsi"/>
          <w:sz w:val="24"/>
          <w:szCs w:val="24"/>
          <w:lang w:val="en-US" w:eastAsia="bg-BG"/>
        </w:rPr>
      </w:pPr>
      <w:r w:rsidRPr="009C27DF">
        <w:rPr>
          <w:rFonts w:eastAsia="Times New Roman" w:cstheme="minorHAnsi"/>
          <w:i/>
          <w:iCs/>
          <w:sz w:val="24"/>
          <w:szCs w:val="24"/>
          <w:lang w:eastAsia="bg-BG"/>
        </w:rPr>
        <w:t>Обхват и цел</w:t>
      </w:r>
      <w:r w:rsidRPr="009C27DF">
        <w:rPr>
          <w:rFonts w:eastAsia="Times New Roman" w:cstheme="minorHAnsi"/>
          <w:i/>
          <w:iCs/>
          <w:sz w:val="24"/>
          <w:szCs w:val="24"/>
          <w:lang w:val="en-US" w:eastAsia="bg-BG"/>
        </w:rPr>
        <w:t>:</w:t>
      </w:r>
      <w:r>
        <w:rPr>
          <w:rFonts w:eastAsia="Times New Roman" w:cstheme="minorHAnsi"/>
          <w:sz w:val="24"/>
          <w:szCs w:val="24"/>
          <w:lang w:val="en-US" w:eastAsia="bg-BG"/>
        </w:rPr>
        <w:t xml:space="preserve"> “1. </w:t>
      </w:r>
      <w:r>
        <w:rPr>
          <w:rFonts w:eastAsia="Times New Roman" w:cstheme="minorHAnsi"/>
          <w:sz w:val="24"/>
          <w:szCs w:val="24"/>
          <w:lang w:eastAsia="bg-BG"/>
        </w:rPr>
        <w:t>Настоящата директива хармонизира разпоредбите на държавите</w:t>
      </w:r>
      <w:r>
        <w:rPr>
          <w:rFonts w:eastAsia="Times New Roman" w:cstheme="minorHAnsi"/>
          <w:sz w:val="24"/>
          <w:szCs w:val="24"/>
          <w:lang w:val="en-US" w:eastAsia="bg-BG"/>
        </w:rPr>
        <w:t>-</w:t>
      </w:r>
      <w:r>
        <w:rPr>
          <w:rFonts w:eastAsia="Times New Roman" w:cstheme="minorHAnsi"/>
          <w:sz w:val="24"/>
          <w:szCs w:val="24"/>
          <w:lang w:eastAsia="bg-BG"/>
        </w:rPr>
        <w:t>членки, необходими за осигуряване на еквивалентно ниво на защита на основни права и свободи и, по-специално, правото на неприкосновеност на личен живот по отношение</w:t>
      </w:r>
      <w:r w:rsidR="006C388C">
        <w:rPr>
          <w:rFonts w:eastAsia="Times New Roman" w:cstheme="minorHAnsi"/>
          <w:sz w:val="24"/>
          <w:szCs w:val="24"/>
          <w:lang w:eastAsia="bg-BG"/>
        </w:rPr>
        <w:t xml:space="preserve"> на обработката на лични данни в електронно комуникационния сектор и да осигури свободно движение на такива данни и оборудване за електронни съобщения и услуги в Общността.</w:t>
      </w:r>
      <w:r w:rsidR="006C388C">
        <w:rPr>
          <w:rFonts w:eastAsia="Times New Roman" w:cstheme="minorHAnsi"/>
          <w:sz w:val="24"/>
          <w:szCs w:val="24"/>
          <w:lang w:val="en-US" w:eastAsia="bg-BG"/>
        </w:rPr>
        <w:t>”</w:t>
      </w:r>
    </w:p>
    <w:p w14:paraId="15261240" w14:textId="7096DF5D" w:rsidR="006C388C" w:rsidRDefault="006C388C" w:rsidP="00C322E6">
      <w:pPr>
        <w:spacing w:after="0" w:line="240" w:lineRule="auto"/>
        <w:rPr>
          <w:rFonts w:eastAsia="Times New Roman" w:cstheme="minorHAnsi"/>
          <w:sz w:val="24"/>
          <w:szCs w:val="24"/>
          <w:lang w:val="en-US" w:eastAsia="bg-BG"/>
        </w:rPr>
      </w:pPr>
    </w:p>
    <w:p w14:paraId="6703E2E0" w14:textId="244D97CD" w:rsidR="006C388C" w:rsidRPr="00A41E46" w:rsidRDefault="006C388C" w:rsidP="00C322E6">
      <w:pPr>
        <w:spacing w:after="0" w:line="240" w:lineRule="auto"/>
        <w:rPr>
          <w:rFonts w:eastAsia="Times New Roman" w:cstheme="minorHAnsi"/>
          <w:i/>
          <w:iCs/>
          <w:sz w:val="24"/>
          <w:szCs w:val="24"/>
          <w:highlight w:val="yellow"/>
          <w:lang w:val="en-US" w:eastAsia="bg-BG"/>
        </w:rPr>
      </w:pPr>
      <w:r w:rsidRPr="00A41E46">
        <w:rPr>
          <w:rFonts w:eastAsia="Times New Roman" w:cstheme="minorHAnsi"/>
          <w:i/>
          <w:iCs/>
          <w:sz w:val="24"/>
          <w:szCs w:val="24"/>
          <w:highlight w:val="yellow"/>
          <w:lang w:eastAsia="bg-BG"/>
        </w:rPr>
        <w:t>Дефиниции</w:t>
      </w:r>
      <w:r w:rsidRPr="00A41E46">
        <w:rPr>
          <w:rFonts w:eastAsia="Times New Roman" w:cstheme="minorHAnsi"/>
          <w:i/>
          <w:iCs/>
          <w:sz w:val="24"/>
          <w:szCs w:val="24"/>
          <w:highlight w:val="yellow"/>
          <w:lang w:val="en-US" w:eastAsia="bg-BG"/>
        </w:rPr>
        <w:t>:</w:t>
      </w:r>
    </w:p>
    <w:p w14:paraId="4FC5502A" w14:textId="759CA66E"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Потребител</w:t>
      </w:r>
    </w:p>
    <w:p w14:paraId="55636B0F" w14:textId="33A16487"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Данни за трафик</w:t>
      </w:r>
    </w:p>
    <w:p w14:paraId="519A5720" w14:textId="33DCB1C6"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Данни за местонахождение</w:t>
      </w:r>
    </w:p>
    <w:p w14:paraId="349CBF10" w14:textId="002A4DA4"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Комуникация</w:t>
      </w:r>
    </w:p>
    <w:p w14:paraId="71F1339D" w14:textId="007FABCB"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Повикване</w:t>
      </w:r>
    </w:p>
    <w:p w14:paraId="3CEE3FA5" w14:textId="714614D9"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lastRenderedPageBreak/>
        <w:t>Съгласие</w:t>
      </w:r>
    </w:p>
    <w:p w14:paraId="289ABD46" w14:textId="1C672269"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Услуга с добавена стойност</w:t>
      </w:r>
    </w:p>
    <w:p w14:paraId="3B9FD589" w14:textId="4D36ACBB" w:rsidR="006C388C" w:rsidRPr="00A41E46" w:rsidRDefault="006C388C" w:rsidP="006C388C">
      <w:pPr>
        <w:pStyle w:val="ListParagraph"/>
        <w:numPr>
          <w:ilvl w:val="0"/>
          <w:numId w:val="16"/>
        </w:numPr>
        <w:spacing w:after="0" w:line="240" w:lineRule="auto"/>
        <w:rPr>
          <w:rFonts w:eastAsia="Times New Roman" w:cstheme="minorHAnsi"/>
          <w:sz w:val="24"/>
          <w:szCs w:val="24"/>
          <w:highlight w:val="yellow"/>
          <w:lang w:val="en-US" w:eastAsia="bg-BG"/>
        </w:rPr>
      </w:pPr>
      <w:r w:rsidRPr="00A41E46">
        <w:rPr>
          <w:rFonts w:eastAsia="Times New Roman" w:cstheme="minorHAnsi"/>
          <w:sz w:val="24"/>
          <w:szCs w:val="24"/>
          <w:highlight w:val="yellow"/>
          <w:lang w:eastAsia="bg-BG"/>
        </w:rPr>
        <w:t>Електронна поща</w:t>
      </w:r>
    </w:p>
    <w:p w14:paraId="7B7B4280" w14:textId="42B31885" w:rsidR="006C388C" w:rsidRPr="00A41E46" w:rsidRDefault="006C388C" w:rsidP="006C388C">
      <w:pPr>
        <w:spacing w:after="0" w:line="240" w:lineRule="auto"/>
        <w:rPr>
          <w:rFonts w:eastAsia="Times New Roman" w:cstheme="minorHAnsi"/>
          <w:sz w:val="24"/>
          <w:szCs w:val="24"/>
          <w:highlight w:val="yellow"/>
          <w:lang w:val="en-US" w:eastAsia="bg-BG"/>
        </w:rPr>
      </w:pPr>
    </w:p>
    <w:p w14:paraId="6BC085FF" w14:textId="4ACDD78B" w:rsidR="006C388C" w:rsidRPr="006C388C" w:rsidRDefault="006C388C" w:rsidP="006C388C">
      <w:pPr>
        <w:spacing w:after="0" w:line="240" w:lineRule="auto"/>
        <w:rPr>
          <w:rFonts w:eastAsia="Times New Roman" w:cstheme="minorHAnsi"/>
          <w:sz w:val="24"/>
          <w:szCs w:val="24"/>
          <w:lang w:eastAsia="bg-BG"/>
        </w:rPr>
      </w:pPr>
      <w:r w:rsidRPr="00A41E46">
        <w:rPr>
          <w:rFonts w:eastAsia="Times New Roman" w:cstheme="minorHAnsi"/>
          <w:sz w:val="24"/>
          <w:szCs w:val="24"/>
          <w:highlight w:val="yellow"/>
          <w:lang w:eastAsia="bg-BG"/>
        </w:rPr>
        <w:t>С настоящата директива се отменя директива 97</w:t>
      </w:r>
      <w:r w:rsidRPr="00A41E46">
        <w:rPr>
          <w:rFonts w:eastAsia="Times New Roman" w:cstheme="minorHAnsi"/>
          <w:sz w:val="24"/>
          <w:szCs w:val="24"/>
          <w:highlight w:val="yellow"/>
          <w:lang w:val="en-US" w:eastAsia="bg-BG"/>
        </w:rPr>
        <w:t>/66/</w:t>
      </w:r>
      <w:r w:rsidRPr="00A41E46">
        <w:rPr>
          <w:rFonts w:eastAsia="Times New Roman" w:cstheme="minorHAnsi"/>
          <w:sz w:val="24"/>
          <w:szCs w:val="24"/>
          <w:highlight w:val="yellow"/>
          <w:lang w:eastAsia="bg-BG"/>
        </w:rPr>
        <w:t>ЕО. Позоваванията на отменената директива трябва да бъдат тълкувани като позовавания на настоящата директива.</w:t>
      </w:r>
    </w:p>
    <w:p w14:paraId="32AB0F99" w14:textId="77777777" w:rsidR="006C388C" w:rsidRPr="006C388C" w:rsidRDefault="006C388C" w:rsidP="006C388C">
      <w:pPr>
        <w:spacing w:after="0" w:line="240" w:lineRule="auto"/>
        <w:rPr>
          <w:rFonts w:eastAsia="Times New Roman" w:cstheme="minorHAnsi"/>
          <w:sz w:val="24"/>
          <w:szCs w:val="24"/>
          <w:lang w:val="en-US" w:eastAsia="bg-BG"/>
        </w:rPr>
      </w:pPr>
    </w:p>
    <w:p w14:paraId="77B95875" w14:textId="2468448C" w:rsidR="00505AB7" w:rsidRPr="00505AB7" w:rsidRDefault="00505AB7" w:rsidP="009C42E0">
      <w:pPr>
        <w:jc w:val="both"/>
        <w:rPr>
          <w:sz w:val="24"/>
          <w:szCs w:val="24"/>
          <w:lang w:val="en-US"/>
        </w:rPr>
      </w:pPr>
    </w:p>
    <w:p w14:paraId="613B1EE6" w14:textId="684A305C" w:rsidR="00505AB7" w:rsidRPr="000F59F7" w:rsidRDefault="000F59F7" w:rsidP="00505AB7">
      <w:pPr>
        <w:rPr>
          <w:b/>
          <w:bCs/>
          <w:sz w:val="24"/>
          <w:szCs w:val="24"/>
          <w:lang w:val="en-US"/>
        </w:rPr>
      </w:pPr>
      <w:r w:rsidRPr="000F59F7">
        <w:rPr>
          <w:b/>
          <w:bCs/>
          <w:sz w:val="24"/>
          <w:szCs w:val="24"/>
          <w:lang w:val="en-US"/>
        </w:rPr>
        <w:t>7</w:t>
      </w:r>
      <w:r w:rsidR="00BC7336" w:rsidRPr="000F59F7">
        <w:rPr>
          <w:b/>
          <w:bCs/>
          <w:sz w:val="24"/>
          <w:szCs w:val="24"/>
        </w:rPr>
        <w:t xml:space="preserve">. </w:t>
      </w:r>
      <w:r w:rsidR="00505AB7" w:rsidRPr="000F59F7">
        <w:rPr>
          <w:b/>
          <w:bCs/>
          <w:sz w:val="24"/>
          <w:szCs w:val="24"/>
        </w:rPr>
        <w:t xml:space="preserve">Основни особености на директивата </w:t>
      </w:r>
      <w:r w:rsidR="00505AB7" w:rsidRPr="000F59F7">
        <w:rPr>
          <w:b/>
          <w:bCs/>
          <w:sz w:val="24"/>
          <w:szCs w:val="24"/>
          <w:lang w:val="en-US"/>
        </w:rPr>
        <w:t>2006/24/CE</w:t>
      </w:r>
    </w:p>
    <w:p w14:paraId="13CC3599" w14:textId="78E4A743" w:rsidR="00516D05" w:rsidRDefault="00516D05" w:rsidP="00516D05">
      <w:pPr>
        <w:jc w:val="both"/>
        <w:rPr>
          <w:sz w:val="24"/>
          <w:szCs w:val="24"/>
        </w:rPr>
      </w:pPr>
      <w:r w:rsidRPr="00516D05">
        <w:rPr>
          <w:sz w:val="24"/>
          <w:szCs w:val="24"/>
        </w:rPr>
        <w:t>Директива 2006/24/ЕО на Европейския парламент и на Съвета от 15 март 2006 година за запазване на данни, създадени или обработени, във връзка с предоставянето на обществено достъпни електронни съобщителни услуги или на обществени съобщителни мрежи и за изменение на Директива 2002/58/EО</w:t>
      </w:r>
      <w:r>
        <w:rPr>
          <w:sz w:val="24"/>
          <w:szCs w:val="24"/>
        </w:rPr>
        <w:t>.</w:t>
      </w:r>
    </w:p>
    <w:p w14:paraId="2FE5BD3B" w14:textId="77777777" w:rsidR="0064218E" w:rsidRPr="009C27DF" w:rsidRDefault="0064218E" w:rsidP="0064218E">
      <w:pPr>
        <w:jc w:val="both"/>
        <w:rPr>
          <w:i/>
          <w:iCs/>
          <w:sz w:val="24"/>
          <w:szCs w:val="24"/>
          <w:lang w:val="en-US"/>
        </w:rPr>
      </w:pPr>
      <w:r w:rsidRPr="009C27DF">
        <w:rPr>
          <w:i/>
          <w:iCs/>
          <w:sz w:val="24"/>
          <w:szCs w:val="24"/>
        </w:rPr>
        <w:t>Дати</w:t>
      </w:r>
      <w:r w:rsidRPr="009C27DF">
        <w:rPr>
          <w:i/>
          <w:iCs/>
          <w:sz w:val="24"/>
          <w:szCs w:val="24"/>
          <w:lang w:val="en-US"/>
        </w:rPr>
        <w:t>:</w:t>
      </w:r>
    </w:p>
    <w:p w14:paraId="1B99448C" w14:textId="4568F11E" w:rsidR="0064218E" w:rsidRPr="00C322E6" w:rsidRDefault="0064218E" w:rsidP="0064218E">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Дата на документа:</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1</w:t>
      </w:r>
      <w:r>
        <w:rPr>
          <w:rFonts w:eastAsia="Times New Roman" w:cstheme="minorHAnsi"/>
          <w:sz w:val="24"/>
          <w:szCs w:val="24"/>
          <w:lang w:eastAsia="bg-BG"/>
        </w:rPr>
        <w:t>5</w:t>
      </w:r>
      <w:r w:rsidRPr="00C322E6">
        <w:rPr>
          <w:rFonts w:eastAsia="Times New Roman" w:cstheme="minorHAnsi"/>
          <w:sz w:val="24"/>
          <w:szCs w:val="24"/>
          <w:lang w:eastAsia="bg-BG"/>
        </w:rPr>
        <w:t>/0</w:t>
      </w:r>
      <w:r>
        <w:rPr>
          <w:rFonts w:eastAsia="Times New Roman" w:cstheme="minorHAnsi"/>
          <w:sz w:val="24"/>
          <w:szCs w:val="24"/>
          <w:lang w:eastAsia="bg-BG"/>
        </w:rPr>
        <w:t>3</w:t>
      </w:r>
      <w:r w:rsidRPr="00C322E6">
        <w:rPr>
          <w:rFonts w:eastAsia="Times New Roman" w:cstheme="minorHAnsi"/>
          <w:sz w:val="24"/>
          <w:szCs w:val="24"/>
          <w:lang w:eastAsia="bg-BG"/>
        </w:rPr>
        <w:t>/200</w:t>
      </w:r>
      <w:r>
        <w:rPr>
          <w:rFonts w:eastAsia="Times New Roman" w:cstheme="minorHAnsi"/>
          <w:sz w:val="24"/>
          <w:szCs w:val="24"/>
          <w:lang w:eastAsia="bg-BG"/>
        </w:rPr>
        <w:t>6</w:t>
      </w:r>
    </w:p>
    <w:p w14:paraId="61E7669B" w14:textId="1F61EE73" w:rsidR="0064218E" w:rsidRPr="00C322E6" w:rsidRDefault="0064218E" w:rsidP="0064218E">
      <w:pPr>
        <w:pStyle w:val="ListParagraph"/>
        <w:numPr>
          <w:ilvl w:val="0"/>
          <w:numId w:val="12"/>
        </w:numPr>
        <w:spacing w:after="0" w:line="240" w:lineRule="auto"/>
        <w:jc w:val="both"/>
        <w:rPr>
          <w:rFonts w:eastAsia="Times New Roman" w:cstheme="minorHAnsi"/>
          <w:sz w:val="24"/>
          <w:szCs w:val="24"/>
          <w:lang w:eastAsia="bg-BG"/>
        </w:rPr>
      </w:pPr>
      <w:r w:rsidRPr="00C322E6">
        <w:rPr>
          <w:rFonts w:eastAsia="Times New Roman" w:cstheme="minorHAnsi"/>
          <w:sz w:val="24"/>
          <w:szCs w:val="24"/>
          <w:lang w:eastAsia="bg-BG"/>
        </w:rPr>
        <w:t>Дата на влизане в сила:</w:t>
      </w:r>
      <w:r w:rsidRPr="00C322E6">
        <w:rPr>
          <w:rFonts w:eastAsia="Times New Roman" w:cstheme="minorHAnsi"/>
          <w:sz w:val="24"/>
          <w:szCs w:val="24"/>
          <w:lang w:val="en-US" w:eastAsia="bg-BG"/>
        </w:rPr>
        <w:t xml:space="preserve"> </w:t>
      </w:r>
      <w:r>
        <w:rPr>
          <w:rFonts w:eastAsia="Times New Roman" w:cstheme="minorHAnsi"/>
          <w:sz w:val="24"/>
          <w:szCs w:val="24"/>
          <w:lang w:eastAsia="bg-BG"/>
        </w:rPr>
        <w:t>27</w:t>
      </w:r>
      <w:r w:rsidRPr="00C322E6">
        <w:rPr>
          <w:rFonts w:eastAsia="Times New Roman" w:cstheme="minorHAnsi"/>
          <w:sz w:val="24"/>
          <w:szCs w:val="24"/>
          <w:lang w:eastAsia="bg-BG"/>
        </w:rPr>
        <w:t>/0</w:t>
      </w:r>
      <w:r>
        <w:rPr>
          <w:rFonts w:eastAsia="Times New Roman" w:cstheme="minorHAnsi"/>
          <w:sz w:val="24"/>
          <w:szCs w:val="24"/>
          <w:lang w:eastAsia="bg-BG"/>
        </w:rPr>
        <w:t>3</w:t>
      </w:r>
      <w:r w:rsidRPr="00C322E6">
        <w:rPr>
          <w:rFonts w:eastAsia="Times New Roman" w:cstheme="minorHAnsi"/>
          <w:sz w:val="24"/>
          <w:szCs w:val="24"/>
          <w:lang w:eastAsia="bg-BG"/>
        </w:rPr>
        <w:t>/200</w:t>
      </w:r>
      <w:r>
        <w:rPr>
          <w:rFonts w:eastAsia="Times New Roman" w:cstheme="minorHAnsi"/>
          <w:sz w:val="24"/>
          <w:szCs w:val="24"/>
          <w:lang w:eastAsia="bg-BG"/>
        </w:rPr>
        <w:t>6</w:t>
      </w:r>
    </w:p>
    <w:p w14:paraId="524493D0" w14:textId="68205F0C" w:rsidR="00BC7336" w:rsidRPr="00804C49" w:rsidRDefault="0064218E" w:rsidP="00006C29">
      <w:pPr>
        <w:pStyle w:val="ListParagraph"/>
        <w:numPr>
          <w:ilvl w:val="0"/>
          <w:numId w:val="12"/>
        </w:numPr>
        <w:spacing w:after="0" w:line="240" w:lineRule="auto"/>
        <w:jc w:val="both"/>
        <w:rPr>
          <w:sz w:val="24"/>
          <w:szCs w:val="24"/>
        </w:rPr>
      </w:pPr>
      <w:r w:rsidRPr="0064218E">
        <w:rPr>
          <w:rFonts w:eastAsia="Times New Roman" w:cstheme="minorHAnsi"/>
          <w:sz w:val="24"/>
          <w:szCs w:val="24"/>
          <w:lang w:eastAsia="bg-BG"/>
        </w:rPr>
        <w:t>Дата на изтичане на валидността:</w:t>
      </w:r>
      <w:r w:rsidRPr="0064218E">
        <w:rPr>
          <w:rFonts w:eastAsia="Times New Roman" w:cstheme="minorHAnsi"/>
          <w:sz w:val="24"/>
          <w:szCs w:val="24"/>
          <w:lang w:val="en-US" w:eastAsia="bg-BG"/>
        </w:rPr>
        <w:t xml:space="preserve"> 03/05/2006</w:t>
      </w:r>
    </w:p>
    <w:p w14:paraId="3CEB4D04" w14:textId="3FE5AEA2" w:rsidR="00804C49" w:rsidRDefault="00804C49" w:rsidP="00804C49">
      <w:pPr>
        <w:spacing w:after="0" w:line="240" w:lineRule="auto"/>
        <w:jc w:val="both"/>
        <w:rPr>
          <w:sz w:val="24"/>
          <w:szCs w:val="24"/>
        </w:rPr>
      </w:pPr>
    </w:p>
    <w:p w14:paraId="08E1F978" w14:textId="77777777" w:rsidR="00804C49" w:rsidRPr="009C27DF" w:rsidRDefault="00804C49" w:rsidP="00804C49">
      <w:pPr>
        <w:spacing w:after="0" w:line="240" w:lineRule="auto"/>
        <w:jc w:val="both"/>
        <w:rPr>
          <w:rFonts w:eastAsia="Times New Roman" w:cstheme="minorHAnsi"/>
          <w:i/>
          <w:iCs/>
          <w:sz w:val="24"/>
          <w:szCs w:val="24"/>
          <w:lang w:val="en-US" w:eastAsia="bg-BG"/>
        </w:rPr>
      </w:pPr>
      <w:r w:rsidRPr="009C27DF">
        <w:rPr>
          <w:rFonts w:eastAsia="Times New Roman" w:cstheme="minorHAnsi"/>
          <w:i/>
          <w:iCs/>
          <w:sz w:val="24"/>
          <w:szCs w:val="24"/>
          <w:lang w:eastAsia="bg-BG"/>
        </w:rPr>
        <w:t>Обща информация</w:t>
      </w:r>
      <w:r w:rsidRPr="009C27DF">
        <w:rPr>
          <w:rFonts w:eastAsia="Times New Roman" w:cstheme="minorHAnsi"/>
          <w:i/>
          <w:iCs/>
          <w:sz w:val="24"/>
          <w:szCs w:val="24"/>
          <w:lang w:val="en-US" w:eastAsia="bg-BG"/>
        </w:rPr>
        <w:t>:</w:t>
      </w:r>
    </w:p>
    <w:p w14:paraId="602C1FCC" w14:textId="77777777" w:rsidR="00804C49" w:rsidRPr="00C322E6" w:rsidRDefault="00804C49" w:rsidP="00804C49">
      <w:pPr>
        <w:pStyle w:val="ListParagraph"/>
        <w:numPr>
          <w:ilvl w:val="0"/>
          <w:numId w:val="15"/>
        </w:numPr>
        <w:spacing w:after="0" w:line="240" w:lineRule="auto"/>
        <w:rPr>
          <w:rFonts w:eastAsia="Times New Roman" w:cstheme="minorHAnsi"/>
          <w:sz w:val="24"/>
          <w:szCs w:val="24"/>
          <w:lang w:eastAsia="bg-BG"/>
        </w:rPr>
      </w:pPr>
      <w:r w:rsidRPr="00C322E6">
        <w:rPr>
          <w:rFonts w:eastAsia="Times New Roman" w:cstheme="minorHAnsi"/>
          <w:sz w:val="24"/>
          <w:szCs w:val="24"/>
          <w:lang w:eastAsia="bg-BG"/>
        </w:rPr>
        <w:t>Автор:</w:t>
      </w:r>
      <w:r w:rsidRPr="00C322E6">
        <w:rPr>
          <w:rFonts w:eastAsia="Times New Roman" w:cstheme="minorHAnsi"/>
          <w:sz w:val="24"/>
          <w:szCs w:val="24"/>
          <w:lang w:val="en-US" w:eastAsia="bg-BG"/>
        </w:rPr>
        <w:t xml:space="preserve"> </w:t>
      </w:r>
      <w:r w:rsidRPr="00C322E6">
        <w:rPr>
          <w:rFonts w:eastAsia="Times New Roman" w:cstheme="minorHAnsi"/>
          <w:sz w:val="24"/>
          <w:szCs w:val="24"/>
          <w:lang w:eastAsia="bg-BG"/>
        </w:rPr>
        <w:t xml:space="preserve">Европейски парламент, Съвет на Европейския съюз </w:t>
      </w:r>
    </w:p>
    <w:p w14:paraId="17CCBF96" w14:textId="23C96BA8" w:rsidR="00804C49" w:rsidRDefault="00804C49" w:rsidP="00804C49">
      <w:pPr>
        <w:pStyle w:val="ListParagraph"/>
        <w:numPr>
          <w:ilvl w:val="0"/>
          <w:numId w:val="15"/>
        </w:numPr>
        <w:spacing w:after="0" w:line="240" w:lineRule="auto"/>
        <w:rPr>
          <w:rFonts w:eastAsia="Times New Roman" w:cstheme="minorHAnsi"/>
          <w:sz w:val="24"/>
          <w:szCs w:val="24"/>
          <w:lang w:eastAsia="bg-BG"/>
        </w:rPr>
      </w:pPr>
      <w:r w:rsidRPr="00C322E6">
        <w:rPr>
          <w:rFonts w:eastAsia="Times New Roman" w:cstheme="minorHAnsi"/>
          <w:sz w:val="24"/>
          <w:szCs w:val="24"/>
          <w:lang w:eastAsia="bg-BG"/>
        </w:rPr>
        <w:t>Адресат на акта:</w:t>
      </w:r>
      <w:r w:rsidRPr="00C322E6">
        <w:rPr>
          <w:rFonts w:eastAsia="Times New Roman" w:cstheme="minorHAnsi"/>
          <w:sz w:val="24"/>
          <w:szCs w:val="24"/>
          <w:lang w:val="en-US" w:eastAsia="bg-BG"/>
        </w:rPr>
        <w:t xml:space="preserve"> </w:t>
      </w:r>
      <w:r>
        <w:rPr>
          <w:rFonts w:eastAsia="Times New Roman" w:cstheme="minorHAnsi"/>
          <w:sz w:val="24"/>
          <w:szCs w:val="24"/>
          <w:lang w:eastAsia="bg-BG"/>
        </w:rPr>
        <w:t>държавите членки на ЕС</w:t>
      </w:r>
    </w:p>
    <w:p w14:paraId="24DE953E" w14:textId="77777777" w:rsidR="00804C49" w:rsidRDefault="00804C49" w:rsidP="00804C49">
      <w:pPr>
        <w:spacing w:after="0" w:line="240" w:lineRule="auto"/>
        <w:rPr>
          <w:rFonts w:eastAsia="Times New Roman" w:cstheme="minorHAnsi"/>
          <w:sz w:val="24"/>
          <w:szCs w:val="24"/>
          <w:lang w:eastAsia="bg-BG"/>
        </w:rPr>
      </w:pPr>
    </w:p>
    <w:p w14:paraId="0A102466" w14:textId="20C93AA2" w:rsidR="00804C49" w:rsidRDefault="00804C49" w:rsidP="00804C49">
      <w:pPr>
        <w:spacing w:after="0" w:line="240" w:lineRule="auto"/>
        <w:rPr>
          <w:rFonts w:eastAsia="Times New Roman" w:cstheme="minorHAnsi"/>
          <w:sz w:val="24"/>
          <w:szCs w:val="24"/>
          <w:lang w:val="en-US" w:eastAsia="bg-BG"/>
        </w:rPr>
      </w:pPr>
      <w:r>
        <w:rPr>
          <w:rFonts w:eastAsia="Times New Roman" w:cstheme="minorHAnsi"/>
          <w:sz w:val="24"/>
          <w:szCs w:val="24"/>
          <w:lang w:eastAsia="bg-BG"/>
        </w:rPr>
        <w:t>Обхват и цел</w:t>
      </w:r>
      <w:r>
        <w:rPr>
          <w:rFonts w:eastAsia="Times New Roman" w:cstheme="minorHAnsi"/>
          <w:sz w:val="24"/>
          <w:szCs w:val="24"/>
          <w:lang w:val="en-US" w:eastAsia="bg-BG"/>
        </w:rPr>
        <w:t xml:space="preserve">: “1. </w:t>
      </w:r>
      <w:r>
        <w:rPr>
          <w:rFonts w:eastAsia="Times New Roman" w:cstheme="minorHAnsi"/>
          <w:sz w:val="24"/>
          <w:szCs w:val="24"/>
          <w:lang w:eastAsia="bg-BG"/>
        </w:rPr>
        <w:t>Настоящата директива хармонизира разпоредбите на държавите</w:t>
      </w:r>
      <w:r>
        <w:rPr>
          <w:rFonts w:eastAsia="Times New Roman" w:cstheme="minorHAnsi"/>
          <w:sz w:val="24"/>
          <w:szCs w:val="24"/>
          <w:lang w:val="en-US" w:eastAsia="bg-BG"/>
        </w:rPr>
        <w:t>-</w:t>
      </w:r>
      <w:r>
        <w:rPr>
          <w:rFonts w:eastAsia="Times New Roman" w:cstheme="minorHAnsi"/>
          <w:sz w:val="24"/>
          <w:szCs w:val="24"/>
          <w:lang w:eastAsia="bg-BG"/>
        </w:rPr>
        <w:t>членки,</w:t>
      </w:r>
      <w:r>
        <w:rPr>
          <w:rFonts w:eastAsia="Times New Roman" w:cstheme="minorHAnsi"/>
          <w:sz w:val="24"/>
          <w:szCs w:val="24"/>
          <w:lang w:eastAsia="bg-BG"/>
        </w:rPr>
        <w:t xml:space="preserve"> свързани със задълженията на доставчиците на обществено достъпни електронни съобщителни услуги или на обществени съобщителни мрежи по отношение запазването на някои данни, които са създадени или обработени за тях, за да се гарантира, че данните са достъпни за разследването, разкриването и преследването на сериозни престъпления, както те са определени в националното право на всяка държава-членка</w:t>
      </w:r>
      <w:r>
        <w:rPr>
          <w:rFonts w:eastAsia="Times New Roman" w:cstheme="minorHAnsi"/>
          <w:sz w:val="24"/>
          <w:szCs w:val="24"/>
          <w:lang w:val="en-US" w:eastAsia="bg-BG"/>
        </w:rPr>
        <w:t>.”.</w:t>
      </w:r>
    </w:p>
    <w:p w14:paraId="62DB2401" w14:textId="77777777" w:rsidR="00804C49" w:rsidRDefault="00804C49" w:rsidP="00804C49">
      <w:pPr>
        <w:spacing w:after="0" w:line="240" w:lineRule="auto"/>
        <w:rPr>
          <w:rFonts w:eastAsia="Times New Roman" w:cstheme="minorHAnsi"/>
          <w:sz w:val="24"/>
          <w:szCs w:val="24"/>
          <w:lang w:val="en-US" w:eastAsia="bg-BG"/>
        </w:rPr>
      </w:pPr>
    </w:p>
    <w:p w14:paraId="5C4E460A" w14:textId="77777777" w:rsidR="00804C49" w:rsidRPr="009C27DF" w:rsidRDefault="00804C49" w:rsidP="00804C49">
      <w:pPr>
        <w:spacing w:after="0" w:line="240" w:lineRule="auto"/>
        <w:rPr>
          <w:rFonts w:eastAsia="Times New Roman" w:cstheme="minorHAnsi"/>
          <w:i/>
          <w:iCs/>
          <w:sz w:val="24"/>
          <w:szCs w:val="24"/>
          <w:lang w:val="en-US" w:eastAsia="bg-BG"/>
        </w:rPr>
      </w:pPr>
      <w:r w:rsidRPr="009C27DF">
        <w:rPr>
          <w:rFonts w:eastAsia="Times New Roman" w:cstheme="minorHAnsi"/>
          <w:i/>
          <w:iCs/>
          <w:sz w:val="24"/>
          <w:szCs w:val="24"/>
          <w:lang w:eastAsia="bg-BG"/>
        </w:rPr>
        <w:t>Дефиниции</w:t>
      </w:r>
      <w:r w:rsidRPr="009C27DF">
        <w:rPr>
          <w:rFonts w:eastAsia="Times New Roman" w:cstheme="minorHAnsi"/>
          <w:i/>
          <w:iCs/>
          <w:sz w:val="24"/>
          <w:szCs w:val="24"/>
          <w:lang w:val="en-US" w:eastAsia="bg-BG"/>
        </w:rPr>
        <w:t>:</w:t>
      </w:r>
    </w:p>
    <w:p w14:paraId="41E1DBC7" w14:textId="55CD1BCA" w:rsidR="00804C49" w:rsidRPr="006C388C"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Данни</w:t>
      </w:r>
    </w:p>
    <w:p w14:paraId="4EF14249" w14:textId="7BE01A90" w:rsidR="00804C49" w:rsidRPr="00804C49"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Ползвател</w:t>
      </w:r>
    </w:p>
    <w:p w14:paraId="5F67F847" w14:textId="10AFD75F" w:rsidR="00804C49" w:rsidRPr="00804C49"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Телефонна услуга</w:t>
      </w:r>
    </w:p>
    <w:p w14:paraId="15F08FEA" w14:textId="4D86B303" w:rsidR="00804C49" w:rsidRPr="006C388C"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Идентификатор на ползвателя</w:t>
      </w:r>
    </w:p>
    <w:p w14:paraId="48CDD47B" w14:textId="14FAD8D4" w:rsidR="00804C49" w:rsidRPr="006C388C"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Идентификатор на клетка</w:t>
      </w:r>
    </w:p>
    <w:p w14:paraId="4219368B" w14:textId="0AC3D45F" w:rsidR="00804C49" w:rsidRPr="00804C49" w:rsidRDefault="00804C49" w:rsidP="00804C49">
      <w:pPr>
        <w:pStyle w:val="ListParagraph"/>
        <w:numPr>
          <w:ilvl w:val="0"/>
          <w:numId w:val="16"/>
        </w:numPr>
        <w:spacing w:after="0" w:line="240" w:lineRule="auto"/>
        <w:rPr>
          <w:rFonts w:eastAsia="Times New Roman" w:cstheme="minorHAnsi"/>
          <w:sz w:val="24"/>
          <w:szCs w:val="24"/>
          <w:lang w:val="en-US" w:eastAsia="bg-BG"/>
        </w:rPr>
      </w:pPr>
      <w:r>
        <w:rPr>
          <w:rFonts w:eastAsia="Times New Roman" w:cstheme="minorHAnsi"/>
          <w:sz w:val="24"/>
          <w:szCs w:val="24"/>
          <w:lang w:eastAsia="bg-BG"/>
        </w:rPr>
        <w:t>Неуспешен опит за повикване</w:t>
      </w:r>
    </w:p>
    <w:p w14:paraId="696954AA" w14:textId="637C6C12" w:rsidR="00804C49" w:rsidRDefault="00804C49" w:rsidP="00804C49">
      <w:pPr>
        <w:spacing w:after="0" w:line="240" w:lineRule="auto"/>
        <w:jc w:val="both"/>
        <w:rPr>
          <w:sz w:val="24"/>
          <w:szCs w:val="24"/>
        </w:rPr>
      </w:pPr>
    </w:p>
    <w:p w14:paraId="12BBF1B5" w14:textId="77777777" w:rsidR="00BC166A" w:rsidRPr="00BC166A" w:rsidRDefault="00BC166A" w:rsidP="00BC166A">
      <w:pPr>
        <w:spacing w:after="0" w:line="240" w:lineRule="auto"/>
        <w:jc w:val="both"/>
        <w:rPr>
          <w:sz w:val="24"/>
          <w:szCs w:val="24"/>
        </w:rPr>
      </w:pPr>
      <w:r w:rsidRPr="00BC166A">
        <w:rPr>
          <w:sz w:val="24"/>
          <w:szCs w:val="24"/>
        </w:rPr>
        <w:t>На 8 април Съдът на Европейския Съюз публикува свое решение, с което обяви, че Директива 2006/24/ЕО на Европейския парламент и на Съвета от 15 март 2006 г. е невалидна. В решението си съдът посочва, че разпоредбите на Директива 2006/24/ЕО са в нарушение на правото на зачитане на личния живот и на основното право на защита на личните данни, регламентирани в чл. 7 и чл. 8 на Хартата на основните права на ЕС (Хартата).</w:t>
      </w:r>
    </w:p>
    <w:p w14:paraId="4F346FD0" w14:textId="77777777" w:rsidR="00BC166A" w:rsidRPr="00BC166A" w:rsidRDefault="00BC166A" w:rsidP="00BC166A">
      <w:pPr>
        <w:spacing w:after="0" w:line="240" w:lineRule="auto"/>
        <w:jc w:val="both"/>
        <w:rPr>
          <w:sz w:val="24"/>
          <w:szCs w:val="24"/>
        </w:rPr>
      </w:pPr>
    </w:p>
    <w:p w14:paraId="29B26E35" w14:textId="77777777" w:rsidR="00BC166A" w:rsidRPr="00FE6905" w:rsidRDefault="00BC166A" w:rsidP="00BC166A">
      <w:pPr>
        <w:spacing w:after="0" w:line="240" w:lineRule="auto"/>
        <w:jc w:val="both"/>
        <w:rPr>
          <w:sz w:val="24"/>
          <w:szCs w:val="24"/>
          <w:highlight w:val="yellow"/>
        </w:rPr>
      </w:pPr>
      <w:r w:rsidRPr="00BC166A">
        <w:rPr>
          <w:sz w:val="24"/>
          <w:szCs w:val="24"/>
        </w:rPr>
        <w:t xml:space="preserve">Директива 2006/24/ЕО, или Директивата за запазване на данни, бе приета през 2006 година, в опит на страните членки да затегнат правилата за опазване на сигурността и обществения ред в общността, като отговор на терористичните атаки в Мадрид и Лондон през 2004 г. и 2005 г. </w:t>
      </w:r>
      <w:r w:rsidRPr="00FE6905">
        <w:rPr>
          <w:sz w:val="24"/>
          <w:szCs w:val="24"/>
          <w:highlight w:val="yellow"/>
        </w:rPr>
        <w:t>Съгласно изискванията на Директивата операторите на електронни съобщения (телекомуникационните компании, интернет доставчици и др.) са задължени да запазват данните за тези съобщения до две години с цел възможното им използване при разследвания на тежки криминални престъпления.</w:t>
      </w:r>
    </w:p>
    <w:p w14:paraId="3D3AB375" w14:textId="77777777" w:rsidR="00BC166A" w:rsidRPr="00FE6905" w:rsidRDefault="00BC166A" w:rsidP="00BC166A">
      <w:pPr>
        <w:spacing w:after="0" w:line="240" w:lineRule="auto"/>
        <w:jc w:val="both"/>
        <w:rPr>
          <w:sz w:val="24"/>
          <w:szCs w:val="24"/>
          <w:highlight w:val="yellow"/>
        </w:rPr>
      </w:pPr>
    </w:p>
    <w:p w14:paraId="7521C770" w14:textId="7677DEDE" w:rsidR="00804C49" w:rsidRPr="00FE6905" w:rsidRDefault="00BC166A" w:rsidP="00804C49">
      <w:pPr>
        <w:spacing w:after="0" w:line="240" w:lineRule="auto"/>
        <w:jc w:val="both"/>
        <w:rPr>
          <w:sz w:val="24"/>
          <w:szCs w:val="24"/>
          <w:highlight w:val="yellow"/>
          <w:lang w:val="en-US"/>
        </w:rPr>
      </w:pPr>
      <w:r w:rsidRPr="00FE6905">
        <w:rPr>
          <w:sz w:val="24"/>
          <w:szCs w:val="24"/>
          <w:highlight w:val="yellow"/>
        </w:rPr>
        <w:t>Делото пред Съда на ЕС е образувано през 2012 година по две искания за преюдициални</w:t>
      </w:r>
      <w:r w:rsidR="00F627F1" w:rsidRPr="00FE6905">
        <w:rPr>
          <w:sz w:val="24"/>
          <w:szCs w:val="24"/>
          <w:highlight w:val="yellow"/>
        </w:rPr>
        <w:t xml:space="preserve"> </w:t>
      </w:r>
      <w:r w:rsidR="00F627F1" w:rsidRPr="00FE6905">
        <w:rPr>
          <w:sz w:val="24"/>
          <w:szCs w:val="24"/>
          <w:highlight w:val="yellow"/>
          <w:lang w:val="en-US"/>
        </w:rPr>
        <w:t>(</w:t>
      </w:r>
      <w:r w:rsidR="00F627F1" w:rsidRPr="00FE6905">
        <w:rPr>
          <w:sz w:val="24"/>
          <w:szCs w:val="24"/>
          <w:highlight w:val="yellow"/>
        </w:rPr>
        <w:t>преди съдебния процес</w:t>
      </w:r>
      <w:r w:rsidR="00F627F1" w:rsidRPr="00FE6905">
        <w:rPr>
          <w:sz w:val="24"/>
          <w:szCs w:val="24"/>
          <w:highlight w:val="yellow"/>
          <w:lang w:val="en-US"/>
        </w:rPr>
        <w:t>)</w:t>
      </w:r>
      <w:r w:rsidRPr="00FE6905">
        <w:rPr>
          <w:sz w:val="24"/>
          <w:szCs w:val="24"/>
          <w:highlight w:val="yellow"/>
        </w:rPr>
        <w:t xml:space="preserve"> заключения от страна на Ирландския Върховен съд (High Court)</w:t>
      </w:r>
      <w:r w:rsidR="00F627F1" w:rsidRPr="00FE6905">
        <w:rPr>
          <w:sz w:val="24"/>
          <w:szCs w:val="24"/>
          <w:highlight w:val="yellow"/>
          <w:lang w:val="en-US"/>
        </w:rPr>
        <w:t xml:space="preserve"> </w:t>
      </w:r>
      <w:r w:rsidRPr="00FE6905">
        <w:rPr>
          <w:sz w:val="24"/>
          <w:szCs w:val="24"/>
          <w:highlight w:val="yellow"/>
        </w:rPr>
        <w:t>и Австрийския Конституционен съд (Verfassungsgerichtshof)</w:t>
      </w:r>
      <w:r w:rsidR="00F627F1" w:rsidRPr="00FE6905">
        <w:rPr>
          <w:sz w:val="24"/>
          <w:szCs w:val="24"/>
          <w:highlight w:val="yellow"/>
          <w:lang w:val="en-US"/>
        </w:rPr>
        <w:t>.</w:t>
      </w:r>
    </w:p>
    <w:p w14:paraId="6FADDA24" w14:textId="7B967BB4" w:rsidR="00BB0F3D" w:rsidRPr="00FE6905" w:rsidRDefault="00BB0F3D" w:rsidP="00804C49">
      <w:pPr>
        <w:spacing w:after="0" w:line="240" w:lineRule="auto"/>
        <w:jc w:val="both"/>
        <w:rPr>
          <w:sz w:val="24"/>
          <w:szCs w:val="24"/>
          <w:highlight w:val="yellow"/>
          <w:lang w:val="en-US"/>
        </w:rPr>
      </w:pPr>
    </w:p>
    <w:p w14:paraId="5714A67E" w14:textId="4AE4A961" w:rsidR="00BB0F3D" w:rsidRDefault="00BB0F3D" w:rsidP="00804C49">
      <w:pPr>
        <w:spacing w:after="0" w:line="240" w:lineRule="auto"/>
        <w:jc w:val="both"/>
        <w:rPr>
          <w:sz w:val="24"/>
          <w:szCs w:val="24"/>
        </w:rPr>
      </w:pPr>
      <w:r w:rsidRPr="00FE6905">
        <w:rPr>
          <w:sz w:val="24"/>
          <w:szCs w:val="24"/>
          <w:highlight w:val="yellow"/>
        </w:rPr>
        <w:t>Въпреки че според директивата самото съдържание на телефонни разговори и комуникация не се запазва, Съдът на ЕС е категоричен, "че с налагането на задължението за запазване на тези данни и с разрешаването на достъпа до тях, директивата се намесва по особено тежък начин в упражняването на основните права на личен живот и на защита на личните данни.</w:t>
      </w:r>
    </w:p>
    <w:p w14:paraId="4142BAAA" w14:textId="4A9A5845" w:rsidR="00A82085" w:rsidRDefault="00A82085" w:rsidP="00804C49">
      <w:pPr>
        <w:spacing w:after="0" w:line="240" w:lineRule="auto"/>
        <w:jc w:val="both"/>
        <w:rPr>
          <w:sz w:val="24"/>
          <w:szCs w:val="24"/>
          <w:lang w:val="en-US"/>
        </w:rPr>
      </w:pPr>
    </w:p>
    <w:p w14:paraId="1E3923D0" w14:textId="77777777" w:rsidR="00B06FC9" w:rsidRPr="00BB0F3D" w:rsidRDefault="00B06FC9" w:rsidP="00804C49">
      <w:pPr>
        <w:spacing w:after="0" w:line="240" w:lineRule="auto"/>
        <w:jc w:val="both"/>
        <w:rPr>
          <w:sz w:val="24"/>
          <w:szCs w:val="24"/>
          <w:lang w:val="en-US"/>
        </w:rPr>
      </w:pPr>
    </w:p>
    <w:p w14:paraId="5F351CA6" w14:textId="6012FE18" w:rsidR="00BE3E69" w:rsidRPr="000F59F7" w:rsidRDefault="000F59F7" w:rsidP="00BE3E69">
      <w:pPr>
        <w:rPr>
          <w:b/>
          <w:bCs/>
          <w:sz w:val="24"/>
          <w:szCs w:val="24"/>
        </w:rPr>
      </w:pPr>
      <w:r w:rsidRPr="000F59F7">
        <w:rPr>
          <w:b/>
          <w:bCs/>
          <w:sz w:val="24"/>
          <w:szCs w:val="24"/>
          <w:lang w:val="en-US"/>
        </w:rPr>
        <w:t>8</w:t>
      </w:r>
      <w:r w:rsidR="00BE3E69" w:rsidRPr="000F59F7">
        <w:rPr>
          <w:b/>
          <w:bCs/>
          <w:sz w:val="24"/>
          <w:szCs w:val="24"/>
          <w:lang w:val="en-US"/>
        </w:rPr>
        <w:t xml:space="preserve">. </w:t>
      </w:r>
      <w:r w:rsidR="00BE3E69" w:rsidRPr="000F59F7">
        <w:rPr>
          <w:b/>
          <w:bCs/>
          <w:sz w:val="24"/>
          <w:szCs w:val="24"/>
        </w:rPr>
        <w:t>Източници</w:t>
      </w:r>
    </w:p>
    <w:p w14:paraId="3A58F35D" w14:textId="32FE7582" w:rsidR="00BE3E69" w:rsidRDefault="00BE3E69" w:rsidP="00BE3E69">
      <w:pPr>
        <w:pStyle w:val="ListParagraph"/>
        <w:numPr>
          <w:ilvl w:val="0"/>
          <w:numId w:val="4"/>
        </w:numPr>
        <w:rPr>
          <w:sz w:val="24"/>
          <w:szCs w:val="24"/>
        </w:rPr>
      </w:pPr>
      <w:r>
        <w:rPr>
          <w:sz w:val="24"/>
          <w:szCs w:val="24"/>
        </w:rPr>
        <w:t>Романски, Р., Нониска, И. Информационни технологии и защита на данните в бизнеса. София, Авангард Прима, 2015</w:t>
      </w:r>
    </w:p>
    <w:p w14:paraId="66EECC2C" w14:textId="23E1F4FD" w:rsidR="00AF4B24" w:rsidRDefault="00AD641A" w:rsidP="00BE3E69">
      <w:pPr>
        <w:pStyle w:val="ListParagraph"/>
        <w:numPr>
          <w:ilvl w:val="0"/>
          <w:numId w:val="4"/>
        </w:numPr>
        <w:rPr>
          <w:sz w:val="24"/>
          <w:szCs w:val="24"/>
        </w:rPr>
      </w:pPr>
      <w:hyperlink r:id="rId15" w:history="1">
        <w:r w:rsidR="004501B4" w:rsidRPr="007C7B5C">
          <w:rPr>
            <w:rStyle w:val="Hyperlink"/>
            <w:sz w:val="24"/>
            <w:szCs w:val="24"/>
          </w:rPr>
          <w:t>https://bg.wikipedia.org</w:t>
        </w:r>
      </w:hyperlink>
    </w:p>
    <w:p w14:paraId="352DCF75" w14:textId="2B8E5C62" w:rsidR="004501B4" w:rsidRDefault="00AD641A" w:rsidP="00BE3E69">
      <w:pPr>
        <w:pStyle w:val="ListParagraph"/>
        <w:numPr>
          <w:ilvl w:val="0"/>
          <w:numId w:val="4"/>
        </w:numPr>
        <w:rPr>
          <w:sz w:val="24"/>
          <w:szCs w:val="24"/>
        </w:rPr>
      </w:pPr>
      <w:hyperlink r:id="rId16" w:history="1">
        <w:r w:rsidR="00445CEC" w:rsidRPr="007C7B5C">
          <w:rPr>
            <w:rStyle w:val="Hyperlink"/>
            <w:sz w:val="24"/>
            <w:szCs w:val="24"/>
          </w:rPr>
          <w:t>https://pravatami.bg</w:t>
        </w:r>
      </w:hyperlink>
    </w:p>
    <w:p w14:paraId="257C1D73" w14:textId="682E82BF" w:rsidR="00445CEC" w:rsidRPr="008C0E5E" w:rsidRDefault="00AD641A" w:rsidP="002D0B45">
      <w:pPr>
        <w:pStyle w:val="ListParagraph"/>
        <w:numPr>
          <w:ilvl w:val="0"/>
          <w:numId w:val="4"/>
        </w:numPr>
        <w:rPr>
          <w:rStyle w:val="Hyperlink"/>
          <w:color w:val="auto"/>
          <w:sz w:val="24"/>
          <w:szCs w:val="24"/>
          <w:u w:val="none"/>
        </w:rPr>
      </w:pPr>
      <w:hyperlink r:id="rId17" w:history="1">
        <w:r w:rsidR="00445CEC" w:rsidRPr="007C7B5C">
          <w:rPr>
            <w:rStyle w:val="Hyperlink"/>
            <w:sz w:val="24"/>
            <w:szCs w:val="24"/>
          </w:rPr>
          <w:t>https://eur-lex.europa.eu/legal-content/</w:t>
        </w:r>
      </w:hyperlink>
    </w:p>
    <w:p w14:paraId="5B5AC728" w14:textId="032ADAA2" w:rsidR="008C0E5E" w:rsidRDefault="008C0E5E" w:rsidP="002D0B45">
      <w:pPr>
        <w:pStyle w:val="ListParagraph"/>
        <w:numPr>
          <w:ilvl w:val="0"/>
          <w:numId w:val="4"/>
        </w:numPr>
        <w:rPr>
          <w:sz w:val="24"/>
          <w:szCs w:val="24"/>
        </w:rPr>
      </w:pPr>
      <w:r w:rsidRPr="008C0E5E">
        <w:rPr>
          <w:sz w:val="24"/>
          <w:szCs w:val="24"/>
        </w:rPr>
        <w:t>ОФИЦИАЛЕН ВЕСТНИК НА ЕВРОПЕЙСКИЯ СЪЮЗ</w:t>
      </w:r>
    </w:p>
    <w:p w14:paraId="32160F65" w14:textId="792BBA08" w:rsidR="00316C86" w:rsidRPr="009C27DF" w:rsidRDefault="00BC166A" w:rsidP="009C27DF">
      <w:pPr>
        <w:pStyle w:val="ListParagraph"/>
        <w:numPr>
          <w:ilvl w:val="0"/>
          <w:numId w:val="4"/>
        </w:numPr>
        <w:rPr>
          <w:sz w:val="24"/>
          <w:szCs w:val="24"/>
        </w:rPr>
      </w:pPr>
      <w:hyperlink r:id="rId18" w:history="1">
        <w:r w:rsidRPr="0030274B">
          <w:rPr>
            <w:rStyle w:val="Hyperlink"/>
            <w:sz w:val="24"/>
            <w:szCs w:val="24"/>
          </w:rPr>
          <w:t>https://blog.aip-bg.org/publications/881</w:t>
        </w:r>
      </w:hyperlink>
    </w:p>
    <w:sectPr w:rsidR="00316C86" w:rsidRPr="009C27D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00EC0" w14:textId="77777777" w:rsidR="00AD641A" w:rsidRDefault="00AD641A" w:rsidP="00B84C9F">
      <w:pPr>
        <w:spacing w:after="0" w:line="240" w:lineRule="auto"/>
      </w:pPr>
      <w:r>
        <w:separator/>
      </w:r>
    </w:p>
  </w:endnote>
  <w:endnote w:type="continuationSeparator" w:id="0">
    <w:p w14:paraId="398A7F2B" w14:textId="77777777" w:rsidR="00AD641A" w:rsidRDefault="00AD641A" w:rsidP="00B8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987025"/>
      <w:docPartObj>
        <w:docPartGallery w:val="Page Numbers (Bottom of Page)"/>
        <w:docPartUnique/>
      </w:docPartObj>
    </w:sdtPr>
    <w:sdtEndPr>
      <w:rPr>
        <w:noProof/>
      </w:rPr>
    </w:sdtEndPr>
    <w:sdtContent>
      <w:p w14:paraId="2E5D1674" w14:textId="77777777" w:rsidR="00B84C9F" w:rsidRDefault="00B84C9F">
        <w:pPr>
          <w:pStyle w:val="Footer"/>
        </w:pPr>
        <w:r>
          <w:fldChar w:fldCharType="begin"/>
        </w:r>
        <w:r>
          <w:instrText xml:space="preserve"> PAGE   \* MERGEFORMAT </w:instrText>
        </w:r>
        <w:r>
          <w:fldChar w:fldCharType="separate"/>
        </w:r>
        <w:r>
          <w:rPr>
            <w:noProof/>
          </w:rPr>
          <w:t>2</w:t>
        </w:r>
        <w:r>
          <w:rPr>
            <w:noProof/>
          </w:rPr>
          <w:fldChar w:fldCharType="end"/>
        </w:r>
      </w:p>
    </w:sdtContent>
  </w:sdt>
  <w:p w14:paraId="566F711B" w14:textId="77777777" w:rsidR="00B84C9F" w:rsidRDefault="00B84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3E222" w14:textId="77777777" w:rsidR="00AD641A" w:rsidRDefault="00AD641A" w:rsidP="00B84C9F">
      <w:pPr>
        <w:spacing w:after="0" w:line="240" w:lineRule="auto"/>
      </w:pPr>
      <w:r>
        <w:separator/>
      </w:r>
    </w:p>
  </w:footnote>
  <w:footnote w:type="continuationSeparator" w:id="0">
    <w:p w14:paraId="52A1CDE5" w14:textId="77777777" w:rsidR="00AD641A" w:rsidRDefault="00AD641A" w:rsidP="00B84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34F"/>
    <w:multiLevelType w:val="hybridMultilevel"/>
    <w:tmpl w:val="95660B8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11FC1522"/>
    <w:multiLevelType w:val="hybridMultilevel"/>
    <w:tmpl w:val="FC003BD4"/>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31B1DBE"/>
    <w:multiLevelType w:val="hybridMultilevel"/>
    <w:tmpl w:val="8534BD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416D4099"/>
    <w:multiLevelType w:val="hybridMultilevel"/>
    <w:tmpl w:val="C95C5DA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42A15FF6"/>
    <w:multiLevelType w:val="hybridMultilevel"/>
    <w:tmpl w:val="DB26C0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D815FA"/>
    <w:multiLevelType w:val="hybridMultilevel"/>
    <w:tmpl w:val="BC8257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FA04963"/>
    <w:multiLevelType w:val="hybridMultilevel"/>
    <w:tmpl w:val="5A70D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0C23979"/>
    <w:multiLevelType w:val="hybridMultilevel"/>
    <w:tmpl w:val="C95C5DA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8" w15:restartNumberingAfterBreak="0">
    <w:nsid w:val="69220822"/>
    <w:multiLevelType w:val="hybridMultilevel"/>
    <w:tmpl w:val="4A0051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6AB5720E"/>
    <w:multiLevelType w:val="hybridMultilevel"/>
    <w:tmpl w:val="B9D00B52"/>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73AE2C34"/>
    <w:multiLevelType w:val="multilevel"/>
    <w:tmpl w:val="253A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D4D0D"/>
    <w:multiLevelType w:val="hybridMultilevel"/>
    <w:tmpl w:val="D640F0D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7A782E6F"/>
    <w:multiLevelType w:val="hybridMultilevel"/>
    <w:tmpl w:val="F524F4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A7C3E67"/>
    <w:multiLevelType w:val="hybridMultilevel"/>
    <w:tmpl w:val="BD40D322"/>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1"/>
  </w:num>
  <w:num w:numId="5">
    <w:abstractNumId w:val="10"/>
  </w:num>
  <w:num w:numId="6">
    <w:abstractNumId w:val="3"/>
  </w:num>
  <w:num w:numId="7">
    <w:abstractNumId w:val="2"/>
  </w:num>
  <w:num w:numId="8">
    <w:abstractNumId w:val="12"/>
  </w:num>
  <w:num w:numId="9">
    <w:abstractNumId w:val="1"/>
  </w:num>
  <w:num w:numId="10">
    <w:abstractNumId w:val="13"/>
  </w:num>
  <w:num w:numId="11">
    <w:abstractNumId w:val="0"/>
  </w:num>
  <w:num w:numId="12">
    <w:abstractNumId w:val="4"/>
  </w:num>
  <w:num w:numId="13">
    <w:abstractNumId w:val="9"/>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5A"/>
    <w:rsid w:val="00001485"/>
    <w:rsid w:val="00013903"/>
    <w:rsid w:val="000728E5"/>
    <w:rsid w:val="000F59F7"/>
    <w:rsid w:val="00194952"/>
    <w:rsid w:val="001D2078"/>
    <w:rsid w:val="001F7B93"/>
    <w:rsid w:val="00254C3F"/>
    <w:rsid w:val="002627CA"/>
    <w:rsid w:val="002721CD"/>
    <w:rsid w:val="00280CF6"/>
    <w:rsid w:val="002870FC"/>
    <w:rsid w:val="00287293"/>
    <w:rsid w:val="002D0B45"/>
    <w:rsid w:val="00305EAA"/>
    <w:rsid w:val="00316C86"/>
    <w:rsid w:val="00337232"/>
    <w:rsid w:val="00352A0D"/>
    <w:rsid w:val="003E4398"/>
    <w:rsid w:val="00434B85"/>
    <w:rsid w:val="00445CEC"/>
    <w:rsid w:val="004501B4"/>
    <w:rsid w:val="00457631"/>
    <w:rsid w:val="00475860"/>
    <w:rsid w:val="004E4838"/>
    <w:rsid w:val="00505AB7"/>
    <w:rsid w:val="00516D05"/>
    <w:rsid w:val="00522BA1"/>
    <w:rsid w:val="00531DCB"/>
    <w:rsid w:val="005540C8"/>
    <w:rsid w:val="0059665A"/>
    <w:rsid w:val="0060162A"/>
    <w:rsid w:val="0064218E"/>
    <w:rsid w:val="006C388C"/>
    <w:rsid w:val="0070690C"/>
    <w:rsid w:val="00737A00"/>
    <w:rsid w:val="00750214"/>
    <w:rsid w:val="007818E0"/>
    <w:rsid w:val="00781E58"/>
    <w:rsid w:val="007828AC"/>
    <w:rsid w:val="007A06C6"/>
    <w:rsid w:val="00804C49"/>
    <w:rsid w:val="008141CD"/>
    <w:rsid w:val="0084528E"/>
    <w:rsid w:val="00861BBD"/>
    <w:rsid w:val="00864248"/>
    <w:rsid w:val="008C0E5E"/>
    <w:rsid w:val="0091787F"/>
    <w:rsid w:val="00936614"/>
    <w:rsid w:val="00962878"/>
    <w:rsid w:val="00966D02"/>
    <w:rsid w:val="009C27DF"/>
    <w:rsid w:val="009C42E0"/>
    <w:rsid w:val="009F0070"/>
    <w:rsid w:val="00A34FB6"/>
    <w:rsid w:val="00A41E46"/>
    <w:rsid w:val="00A82085"/>
    <w:rsid w:val="00AD641A"/>
    <w:rsid w:val="00AE6EFC"/>
    <w:rsid w:val="00AF4B24"/>
    <w:rsid w:val="00B06FC9"/>
    <w:rsid w:val="00B10AC8"/>
    <w:rsid w:val="00B52322"/>
    <w:rsid w:val="00B84C9F"/>
    <w:rsid w:val="00B93766"/>
    <w:rsid w:val="00BA6C12"/>
    <w:rsid w:val="00BB0F3D"/>
    <w:rsid w:val="00BC166A"/>
    <w:rsid w:val="00BC7336"/>
    <w:rsid w:val="00BE3E69"/>
    <w:rsid w:val="00C322E6"/>
    <w:rsid w:val="00C32A65"/>
    <w:rsid w:val="00C358C3"/>
    <w:rsid w:val="00C81415"/>
    <w:rsid w:val="00CA3984"/>
    <w:rsid w:val="00CA4660"/>
    <w:rsid w:val="00D040A8"/>
    <w:rsid w:val="00D3595D"/>
    <w:rsid w:val="00D37D04"/>
    <w:rsid w:val="00D44F04"/>
    <w:rsid w:val="00D86EB0"/>
    <w:rsid w:val="00DA71BF"/>
    <w:rsid w:val="00DB765E"/>
    <w:rsid w:val="00DC648A"/>
    <w:rsid w:val="00E04169"/>
    <w:rsid w:val="00E2743D"/>
    <w:rsid w:val="00E77E38"/>
    <w:rsid w:val="00EB3247"/>
    <w:rsid w:val="00EC424F"/>
    <w:rsid w:val="00ED40DD"/>
    <w:rsid w:val="00F627F1"/>
    <w:rsid w:val="00F64A7A"/>
    <w:rsid w:val="00F726A2"/>
    <w:rsid w:val="00FA3F73"/>
    <w:rsid w:val="00FE69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5A03"/>
  <w15:chartTrackingRefBased/>
  <w15:docId w15:val="{C400FD39-151B-4954-B684-93B05E8F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4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69"/>
    <w:rPr>
      <w:color w:val="0563C1" w:themeColor="hyperlink"/>
      <w:u w:val="single"/>
    </w:rPr>
  </w:style>
  <w:style w:type="paragraph" w:styleId="Caption">
    <w:name w:val="caption"/>
    <w:basedOn w:val="Normal"/>
    <w:next w:val="Normal"/>
    <w:uiPriority w:val="35"/>
    <w:semiHidden/>
    <w:unhideWhenUsed/>
    <w:qFormat/>
    <w:rsid w:val="00BE3E69"/>
    <w:pPr>
      <w:spacing w:after="200" w:line="240" w:lineRule="auto"/>
    </w:pPr>
    <w:rPr>
      <w:i/>
      <w:iCs/>
      <w:color w:val="44546A" w:themeColor="text2"/>
      <w:sz w:val="18"/>
      <w:szCs w:val="18"/>
    </w:rPr>
  </w:style>
  <w:style w:type="paragraph" w:styleId="ListParagraph">
    <w:name w:val="List Paragraph"/>
    <w:basedOn w:val="Normal"/>
    <w:uiPriority w:val="34"/>
    <w:qFormat/>
    <w:rsid w:val="00BE3E69"/>
    <w:pPr>
      <w:ind w:left="720"/>
      <w:contextualSpacing/>
    </w:pPr>
  </w:style>
  <w:style w:type="table" w:styleId="TableGrid">
    <w:name w:val="Table Grid"/>
    <w:basedOn w:val="TableNormal"/>
    <w:uiPriority w:val="39"/>
    <w:rsid w:val="00BE3E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01B4"/>
    <w:rPr>
      <w:color w:val="605E5C"/>
      <w:shd w:val="clear" w:color="auto" w:fill="E1DFDD"/>
    </w:rPr>
  </w:style>
  <w:style w:type="character" w:customStyle="1" w:styleId="bold">
    <w:name w:val="bold"/>
    <w:basedOn w:val="DefaultParagraphFont"/>
    <w:rsid w:val="00FA3F73"/>
  </w:style>
  <w:style w:type="paragraph" w:styleId="Header">
    <w:name w:val="header"/>
    <w:basedOn w:val="Normal"/>
    <w:link w:val="HeaderChar"/>
    <w:uiPriority w:val="99"/>
    <w:unhideWhenUsed/>
    <w:rsid w:val="00B84C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C9F"/>
  </w:style>
  <w:style w:type="paragraph" w:styleId="Footer">
    <w:name w:val="footer"/>
    <w:basedOn w:val="Normal"/>
    <w:link w:val="FooterChar"/>
    <w:uiPriority w:val="99"/>
    <w:unhideWhenUsed/>
    <w:rsid w:val="00B84C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C9F"/>
  </w:style>
  <w:style w:type="character" w:styleId="FollowedHyperlink">
    <w:name w:val="FollowedHyperlink"/>
    <w:basedOn w:val="DefaultParagraphFont"/>
    <w:uiPriority w:val="99"/>
    <w:semiHidden/>
    <w:unhideWhenUsed/>
    <w:rsid w:val="00287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0216">
      <w:bodyDiv w:val="1"/>
      <w:marLeft w:val="0"/>
      <w:marRight w:val="0"/>
      <w:marTop w:val="0"/>
      <w:marBottom w:val="0"/>
      <w:divBdr>
        <w:top w:val="none" w:sz="0" w:space="0" w:color="auto"/>
        <w:left w:val="none" w:sz="0" w:space="0" w:color="auto"/>
        <w:bottom w:val="none" w:sz="0" w:space="0" w:color="auto"/>
        <w:right w:val="none" w:sz="0" w:space="0" w:color="auto"/>
      </w:divBdr>
    </w:div>
    <w:div w:id="437532595">
      <w:bodyDiv w:val="1"/>
      <w:marLeft w:val="0"/>
      <w:marRight w:val="0"/>
      <w:marTop w:val="0"/>
      <w:marBottom w:val="0"/>
      <w:divBdr>
        <w:top w:val="none" w:sz="0" w:space="0" w:color="auto"/>
        <w:left w:val="none" w:sz="0" w:space="0" w:color="auto"/>
        <w:bottom w:val="none" w:sz="0" w:space="0" w:color="auto"/>
        <w:right w:val="none" w:sz="0" w:space="0" w:color="auto"/>
      </w:divBdr>
      <w:divsChild>
        <w:div w:id="410396212">
          <w:marLeft w:val="0"/>
          <w:marRight w:val="0"/>
          <w:marTop w:val="0"/>
          <w:marBottom w:val="0"/>
          <w:divBdr>
            <w:top w:val="none" w:sz="0" w:space="0" w:color="auto"/>
            <w:left w:val="none" w:sz="0" w:space="0" w:color="auto"/>
            <w:bottom w:val="none" w:sz="0" w:space="0" w:color="auto"/>
            <w:right w:val="none" w:sz="0" w:space="0" w:color="auto"/>
          </w:divBdr>
          <w:divsChild>
            <w:div w:id="17960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633">
      <w:bodyDiv w:val="1"/>
      <w:marLeft w:val="0"/>
      <w:marRight w:val="0"/>
      <w:marTop w:val="0"/>
      <w:marBottom w:val="0"/>
      <w:divBdr>
        <w:top w:val="none" w:sz="0" w:space="0" w:color="auto"/>
        <w:left w:val="none" w:sz="0" w:space="0" w:color="auto"/>
        <w:bottom w:val="none" w:sz="0" w:space="0" w:color="auto"/>
        <w:right w:val="none" w:sz="0" w:space="0" w:color="auto"/>
      </w:divBdr>
    </w:div>
    <w:div w:id="796680613">
      <w:bodyDiv w:val="1"/>
      <w:marLeft w:val="0"/>
      <w:marRight w:val="0"/>
      <w:marTop w:val="0"/>
      <w:marBottom w:val="0"/>
      <w:divBdr>
        <w:top w:val="none" w:sz="0" w:space="0" w:color="auto"/>
        <w:left w:val="none" w:sz="0" w:space="0" w:color="auto"/>
        <w:bottom w:val="none" w:sz="0" w:space="0" w:color="auto"/>
        <w:right w:val="none" w:sz="0" w:space="0" w:color="auto"/>
      </w:divBdr>
    </w:div>
    <w:div w:id="944926911">
      <w:bodyDiv w:val="1"/>
      <w:marLeft w:val="0"/>
      <w:marRight w:val="0"/>
      <w:marTop w:val="0"/>
      <w:marBottom w:val="0"/>
      <w:divBdr>
        <w:top w:val="none" w:sz="0" w:space="0" w:color="auto"/>
        <w:left w:val="none" w:sz="0" w:space="0" w:color="auto"/>
        <w:bottom w:val="none" w:sz="0" w:space="0" w:color="auto"/>
        <w:right w:val="none" w:sz="0" w:space="0" w:color="auto"/>
      </w:divBdr>
      <w:divsChild>
        <w:div w:id="1916427715">
          <w:marLeft w:val="0"/>
          <w:marRight w:val="0"/>
          <w:marTop w:val="0"/>
          <w:marBottom w:val="0"/>
          <w:divBdr>
            <w:top w:val="none" w:sz="0" w:space="0" w:color="auto"/>
            <w:left w:val="none" w:sz="0" w:space="0" w:color="auto"/>
            <w:bottom w:val="none" w:sz="0" w:space="0" w:color="auto"/>
            <w:right w:val="none" w:sz="0" w:space="0" w:color="auto"/>
          </w:divBdr>
          <w:divsChild>
            <w:div w:id="1225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384">
      <w:bodyDiv w:val="1"/>
      <w:marLeft w:val="0"/>
      <w:marRight w:val="0"/>
      <w:marTop w:val="0"/>
      <w:marBottom w:val="0"/>
      <w:divBdr>
        <w:top w:val="none" w:sz="0" w:space="0" w:color="auto"/>
        <w:left w:val="none" w:sz="0" w:space="0" w:color="auto"/>
        <w:bottom w:val="none" w:sz="0" w:space="0" w:color="auto"/>
        <w:right w:val="none" w:sz="0" w:space="0" w:color="auto"/>
      </w:divBdr>
    </w:div>
    <w:div w:id="1172722826">
      <w:bodyDiv w:val="1"/>
      <w:marLeft w:val="0"/>
      <w:marRight w:val="0"/>
      <w:marTop w:val="0"/>
      <w:marBottom w:val="0"/>
      <w:divBdr>
        <w:top w:val="none" w:sz="0" w:space="0" w:color="auto"/>
        <w:left w:val="none" w:sz="0" w:space="0" w:color="auto"/>
        <w:bottom w:val="none" w:sz="0" w:space="0" w:color="auto"/>
        <w:right w:val="none" w:sz="0" w:space="0" w:color="auto"/>
      </w:divBdr>
    </w:div>
    <w:div w:id="1591044417">
      <w:bodyDiv w:val="1"/>
      <w:marLeft w:val="0"/>
      <w:marRight w:val="0"/>
      <w:marTop w:val="0"/>
      <w:marBottom w:val="0"/>
      <w:divBdr>
        <w:top w:val="none" w:sz="0" w:space="0" w:color="auto"/>
        <w:left w:val="none" w:sz="0" w:space="0" w:color="auto"/>
        <w:bottom w:val="none" w:sz="0" w:space="0" w:color="auto"/>
        <w:right w:val="none" w:sz="0" w:space="0" w:color="auto"/>
      </w:divBdr>
    </w:div>
    <w:div w:id="1763530607">
      <w:bodyDiv w:val="1"/>
      <w:marLeft w:val="0"/>
      <w:marRight w:val="0"/>
      <w:marTop w:val="0"/>
      <w:marBottom w:val="0"/>
      <w:divBdr>
        <w:top w:val="none" w:sz="0" w:space="0" w:color="auto"/>
        <w:left w:val="none" w:sz="0" w:space="0" w:color="auto"/>
        <w:bottom w:val="none" w:sz="0" w:space="0" w:color="auto"/>
        <w:right w:val="none" w:sz="0" w:space="0" w:color="auto"/>
      </w:divBdr>
    </w:div>
    <w:div w:id="1776052071">
      <w:bodyDiv w:val="1"/>
      <w:marLeft w:val="0"/>
      <w:marRight w:val="0"/>
      <w:marTop w:val="0"/>
      <w:marBottom w:val="0"/>
      <w:divBdr>
        <w:top w:val="none" w:sz="0" w:space="0" w:color="auto"/>
        <w:left w:val="none" w:sz="0" w:space="0" w:color="auto"/>
        <w:bottom w:val="none" w:sz="0" w:space="0" w:color="auto"/>
        <w:right w:val="none" w:sz="0" w:space="0" w:color="auto"/>
      </w:divBdr>
    </w:div>
    <w:div w:id="1896113292">
      <w:bodyDiv w:val="1"/>
      <w:marLeft w:val="0"/>
      <w:marRight w:val="0"/>
      <w:marTop w:val="0"/>
      <w:marBottom w:val="0"/>
      <w:divBdr>
        <w:top w:val="none" w:sz="0" w:space="0" w:color="auto"/>
        <w:left w:val="none" w:sz="0" w:space="0" w:color="auto"/>
        <w:bottom w:val="none" w:sz="0" w:space="0" w:color="auto"/>
        <w:right w:val="none" w:sz="0" w:space="0" w:color="auto"/>
      </w:divBdr>
    </w:div>
    <w:div w:id="1931355274">
      <w:bodyDiv w:val="1"/>
      <w:marLeft w:val="0"/>
      <w:marRight w:val="0"/>
      <w:marTop w:val="0"/>
      <w:marBottom w:val="0"/>
      <w:divBdr>
        <w:top w:val="none" w:sz="0" w:space="0" w:color="auto"/>
        <w:left w:val="none" w:sz="0" w:space="0" w:color="auto"/>
        <w:bottom w:val="none" w:sz="0" w:space="0" w:color="auto"/>
        <w:right w:val="none" w:sz="0" w:space="0" w:color="auto"/>
      </w:divBdr>
    </w:div>
    <w:div w:id="202127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BG/TXT/?uri=LEGISSUM:ai0032" TargetMode="External"/><Relationship Id="rId13" Type="http://schemas.openxmlformats.org/officeDocument/2006/relationships/hyperlink" Target="https://eur-lex.europa.eu/summary/glossary/eu_court_justice.html" TargetMode="External"/><Relationship Id="rId18" Type="http://schemas.openxmlformats.org/officeDocument/2006/relationships/hyperlink" Target="https://blog.aip-bg.org/publications/88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ur-lex.europa.eu/summary/glossary/european_commission.html" TargetMode="External"/><Relationship Id="rId17" Type="http://schemas.openxmlformats.org/officeDocument/2006/relationships/hyperlink" Target="https://eur-lex.europa.eu/legal-content/" TargetMode="External"/><Relationship Id="rId2" Type="http://schemas.openxmlformats.org/officeDocument/2006/relationships/numbering" Target="numbering.xml"/><Relationship Id="rId16" Type="http://schemas.openxmlformats.org/officeDocument/2006/relationships/hyperlink" Target="https://pravatami.b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5%D0%B2%D1%80%D0%BE%D0%BF%D0%B5%D0%B9%D1%81%D0%BA%D0%B8_%D0%BF%D0%B0%D1%80%D0%BB%D0%B0%D0%BC%D0%B5%D0%BD%D1%82" TargetMode="External"/><Relationship Id="rId5" Type="http://schemas.openxmlformats.org/officeDocument/2006/relationships/webSettings" Target="webSettings.xml"/><Relationship Id="rId15" Type="http://schemas.openxmlformats.org/officeDocument/2006/relationships/hyperlink" Target="https://bg.wikipedia.org" TargetMode="External"/><Relationship Id="rId10" Type="http://schemas.openxmlformats.org/officeDocument/2006/relationships/hyperlink" Target="https://bg.wikipedia.org/wiki/%D0%A1%D1%8A%D0%B2%D0%B5%D1%82_%D0%BD%D0%B0_%D0%95%D0%B2%D1%80%D0%BE%D0%BF%D0%B5%D0%B9%D1%81%D0%BA%D0%B8%D1%8F_%D1%81%D1%8A%D1%8E%D0%B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g.wikipedia.org/wiki/%D0%95%D0%B2%D1%80%D0%BE%D0%BF%D0%B5%D0%B9%D1%81%D0%BA%D0%B0_%D0%BA%D0%BE%D0%BC%D0%B8%D1%81%D0%B8%D1%8F" TargetMode="External"/><Relationship Id="rId14" Type="http://schemas.openxmlformats.org/officeDocument/2006/relationships/hyperlink" Target="https://ec.europa.eu/internal_market/scoreboard/performance_by_governance_tool/transposition/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C46BA-D722-497A-9226-E407457C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102</cp:revision>
  <dcterms:created xsi:type="dcterms:W3CDTF">2020-11-24T18:40:00Z</dcterms:created>
  <dcterms:modified xsi:type="dcterms:W3CDTF">2020-11-25T21:52:00Z</dcterms:modified>
</cp:coreProperties>
</file>