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15" w:rsidRDefault="00B14115">
      <w:pPr>
        <w:rPr>
          <w:rFonts w:ascii="Arial" w:hAnsi="Arial" w:cs="Arial"/>
          <w:sz w:val="28"/>
          <w:szCs w:val="28"/>
        </w:rPr>
      </w:pPr>
    </w:p>
    <w:p w:rsidR="00B14115" w:rsidRDefault="00B14115">
      <w:pPr>
        <w:rPr>
          <w:rFonts w:ascii="Arial" w:hAnsi="Arial" w:cs="Arial"/>
          <w:sz w:val="28"/>
          <w:szCs w:val="28"/>
        </w:rPr>
      </w:pPr>
    </w:p>
    <w:p w:rsidR="006C164D" w:rsidRDefault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Glucose</w:t>
      </w:r>
    </w:p>
    <w:p w:rsidR="00B14115" w:rsidRDefault="00372267">
      <w:pPr>
        <w:rPr>
          <w:rFonts w:ascii="Arial" w:hAnsi="Arial" w:cs="Arial"/>
          <w:sz w:val="28"/>
          <w:szCs w:val="28"/>
        </w:rPr>
      </w:pPr>
      <w:hyperlink r:id="rId4" w:history="1">
        <w:r w:rsidR="00B14115" w:rsidRPr="00522A04">
          <w:rPr>
            <w:rStyle w:val="Hyperlink"/>
            <w:rFonts w:ascii="Arial" w:hAnsi="Arial" w:cs="Arial"/>
            <w:sz w:val="28"/>
            <w:szCs w:val="28"/>
          </w:rPr>
          <w:t>https://www.genome.jp/dbget-bin/www_bfind_sub?mode=bfind&amp;max_hit=1000&amp;dbkey=kegg&amp;keywords=Glucose</w:t>
        </w:r>
      </w:hyperlink>
    </w:p>
    <w:p w:rsidR="00B14115" w:rsidRDefault="00B14115">
      <w:pPr>
        <w:rPr>
          <w:rFonts w:ascii="Arial" w:hAnsi="Arial" w:cs="Arial"/>
          <w:sz w:val="28"/>
          <w:szCs w:val="28"/>
        </w:rPr>
      </w:pPr>
    </w:p>
    <w:p w:rsidR="00B14115" w:rsidRDefault="00B14115">
      <w:pPr>
        <w:rPr>
          <w:rFonts w:ascii="Arial" w:hAnsi="Arial" w:cs="Arial"/>
          <w:sz w:val="28"/>
          <w:szCs w:val="28"/>
        </w:rPr>
      </w:pPr>
    </w:p>
    <w:p w:rsidR="00B14115" w:rsidRDefault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KEGG MODULE</w:t>
      </w: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M00001</w:t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Glycolysis (</w:t>
      </w:r>
      <w:proofErr w:type="spellStart"/>
      <w:r w:rsidRPr="00B14115">
        <w:rPr>
          <w:rFonts w:ascii="Arial" w:hAnsi="Arial" w:cs="Arial"/>
          <w:sz w:val="28"/>
          <w:szCs w:val="28"/>
        </w:rPr>
        <w:t>Embden</w:t>
      </w:r>
      <w:proofErr w:type="spellEnd"/>
      <w:r w:rsidRPr="00B14115">
        <w:rPr>
          <w:rFonts w:ascii="Arial" w:hAnsi="Arial" w:cs="Arial"/>
          <w:sz w:val="28"/>
          <w:szCs w:val="28"/>
        </w:rPr>
        <w:t>-Meyerhof pathway), glucose =&gt; pyruvate</w:t>
      </w:r>
    </w:p>
    <w:p w:rsidR="009C2796" w:rsidRDefault="009C2796" w:rsidP="00B1411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4038600" cy="3810000"/>
            <wp:effectExtent l="0" t="0" r="0" b="0"/>
            <wp:docPr id="1" name="Picture 1" descr="M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0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lastRenderedPageBreak/>
        <w:t>KEGG ORTHOLOGY</w:t>
      </w: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K00012</w:t>
      </w:r>
    </w:p>
    <w:p w:rsidR="009C2796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 xml:space="preserve">UGDH, </w:t>
      </w:r>
      <w:proofErr w:type="spellStart"/>
      <w:r w:rsidRPr="00B14115">
        <w:rPr>
          <w:rFonts w:ascii="Arial" w:hAnsi="Arial" w:cs="Arial"/>
          <w:sz w:val="28"/>
          <w:szCs w:val="28"/>
        </w:rPr>
        <w:t>ugd</w:t>
      </w:r>
      <w:proofErr w:type="spellEnd"/>
      <w:r w:rsidRPr="00B14115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B14115">
        <w:rPr>
          <w:rFonts w:ascii="Arial" w:hAnsi="Arial" w:cs="Arial"/>
          <w:sz w:val="28"/>
          <w:szCs w:val="28"/>
        </w:rPr>
        <w:t>UDPglucose</w:t>
      </w:r>
      <w:proofErr w:type="spellEnd"/>
      <w:r w:rsidRPr="00B14115">
        <w:rPr>
          <w:rFonts w:ascii="Arial" w:hAnsi="Arial" w:cs="Arial"/>
          <w:sz w:val="28"/>
          <w:szCs w:val="28"/>
        </w:rPr>
        <w:t xml:space="preserve"> 6-dehydrogenase [EC</w:t>
      </w:r>
      <w:proofErr w:type="gramStart"/>
      <w:r w:rsidRPr="00B14115">
        <w:rPr>
          <w:rFonts w:ascii="Arial" w:hAnsi="Arial" w:cs="Arial"/>
          <w:sz w:val="28"/>
          <w:szCs w:val="28"/>
        </w:rPr>
        <w:t>:1.1.1.22</w:t>
      </w:r>
      <w:proofErr w:type="gramEnd"/>
      <w:r w:rsidRPr="00B14115">
        <w:rPr>
          <w:rFonts w:ascii="Arial" w:hAnsi="Arial" w:cs="Arial"/>
          <w:sz w:val="28"/>
          <w:szCs w:val="28"/>
        </w:rPr>
        <w:t>]</w:t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KEGG GENES</w:t>
      </w:r>
    </w:p>
    <w:p w:rsidR="00305E40" w:rsidRDefault="00305E40" w:rsidP="00305E40">
      <w:pPr>
        <w:pStyle w:val="HTMLPreformatted"/>
      </w:pPr>
      <w:hyperlink r:id="rId6" w:history="1">
        <w:r>
          <w:rPr>
            <w:rStyle w:val="Hyperlink"/>
          </w:rPr>
          <w:t>KEGG GENES (6187)</w:t>
        </w:r>
      </w:hyperlink>
      <w:r>
        <w:t xml:space="preserve">   </w:t>
      </w:r>
    </w:p>
    <w:p w:rsidR="00305E40" w:rsidRDefault="00305E40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KEGG REACTION</w:t>
      </w: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R00010</w:t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14115">
        <w:rPr>
          <w:rFonts w:ascii="Arial" w:hAnsi="Arial" w:cs="Arial"/>
          <w:sz w:val="28"/>
          <w:szCs w:val="28"/>
        </w:rPr>
        <w:t>alpha,</w:t>
      </w:r>
      <w:proofErr w:type="gramEnd"/>
      <w:r w:rsidRPr="00B14115">
        <w:rPr>
          <w:rFonts w:ascii="Arial" w:hAnsi="Arial" w:cs="Arial"/>
          <w:sz w:val="28"/>
          <w:szCs w:val="28"/>
        </w:rPr>
        <w:t>alpha-trehalose</w:t>
      </w:r>
      <w:proofErr w:type="spellEnd"/>
      <w:r w:rsidRPr="00B141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4115">
        <w:rPr>
          <w:rFonts w:ascii="Arial" w:hAnsi="Arial" w:cs="Arial"/>
          <w:sz w:val="28"/>
          <w:szCs w:val="28"/>
        </w:rPr>
        <w:t>glucohydrolase</w:t>
      </w:r>
      <w:proofErr w:type="spellEnd"/>
      <w:r w:rsidRPr="00B14115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B14115">
        <w:rPr>
          <w:rFonts w:ascii="Arial" w:hAnsi="Arial" w:cs="Arial"/>
          <w:sz w:val="28"/>
          <w:szCs w:val="28"/>
        </w:rPr>
        <w:t>alpha,alpha-Trehalose</w:t>
      </w:r>
      <w:proofErr w:type="spellEnd"/>
      <w:r w:rsidRPr="00B14115">
        <w:rPr>
          <w:rFonts w:ascii="Arial" w:hAnsi="Arial" w:cs="Arial"/>
          <w:sz w:val="28"/>
          <w:szCs w:val="28"/>
        </w:rPr>
        <w:t xml:space="preserve"> + H2O &lt;=&gt; 2 D-Glucose</w:t>
      </w:r>
    </w:p>
    <w:p w:rsidR="00305E40" w:rsidRDefault="00305E40" w:rsidP="00B1411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4686300" cy="2232660"/>
            <wp:effectExtent l="0" t="0" r="0" b="0"/>
            <wp:docPr id="2" name="Picture 2" descr="https://www.genome.jp/Fig/reaction_small/R00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enome.jp/Fig/reaction_small/R0001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lastRenderedPageBreak/>
        <w:t>KEGG ENZYME</w:t>
      </w: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1.1.1.22</w:t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 xml:space="preserve">UDP-glucose 6-dehydrogenase; UDP-glucose dehydrogenase; uridine </w:t>
      </w:r>
      <w:proofErr w:type="spellStart"/>
      <w:r w:rsidRPr="00B14115">
        <w:rPr>
          <w:rFonts w:ascii="Arial" w:hAnsi="Arial" w:cs="Arial"/>
          <w:sz w:val="28"/>
          <w:szCs w:val="28"/>
        </w:rPr>
        <w:t>diphosphoglucose</w:t>
      </w:r>
      <w:proofErr w:type="spellEnd"/>
      <w:r w:rsidRPr="00B14115">
        <w:rPr>
          <w:rFonts w:ascii="Arial" w:hAnsi="Arial" w:cs="Arial"/>
          <w:sz w:val="28"/>
          <w:szCs w:val="28"/>
        </w:rPr>
        <w:t xml:space="preserve"> dehydrogenase; UDPG dehydrogenase; UDPG</w:t>
      </w:r>
      <w:proofErr w:type="gramStart"/>
      <w:r w:rsidRPr="00B14115">
        <w:rPr>
          <w:rFonts w:ascii="Arial" w:hAnsi="Arial" w:cs="Arial"/>
          <w:sz w:val="28"/>
          <w:szCs w:val="28"/>
        </w:rPr>
        <w:t>:NAD</w:t>
      </w:r>
      <w:proofErr w:type="gramEnd"/>
      <w:r w:rsidRPr="00B14115">
        <w:rPr>
          <w:rFonts w:ascii="Arial" w:hAnsi="Arial" w:cs="Arial"/>
          <w:sz w:val="28"/>
          <w:szCs w:val="28"/>
        </w:rPr>
        <w:t xml:space="preserve"> oxidoreductase; </w:t>
      </w:r>
      <w:proofErr w:type="spellStart"/>
      <w:r w:rsidRPr="00B14115">
        <w:rPr>
          <w:rFonts w:ascii="Arial" w:hAnsi="Arial" w:cs="Arial"/>
          <w:sz w:val="28"/>
          <w:szCs w:val="28"/>
        </w:rPr>
        <w:t>UDP-alpha-D-glucose:NAD</w:t>
      </w:r>
      <w:proofErr w:type="spellEnd"/>
      <w:r w:rsidRPr="00B14115">
        <w:rPr>
          <w:rFonts w:ascii="Arial" w:hAnsi="Arial" w:cs="Arial"/>
          <w:sz w:val="28"/>
          <w:szCs w:val="28"/>
        </w:rPr>
        <w:t xml:space="preserve"> oxidoreductase; </w:t>
      </w:r>
      <w:proofErr w:type="spellStart"/>
      <w:r w:rsidRPr="00B14115">
        <w:rPr>
          <w:rFonts w:ascii="Arial" w:hAnsi="Arial" w:cs="Arial"/>
          <w:sz w:val="28"/>
          <w:szCs w:val="28"/>
        </w:rPr>
        <w:t>UDP-glucose:NAD</w:t>
      </w:r>
      <w:proofErr w:type="spellEnd"/>
      <w:r w:rsidRPr="00B14115">
        <w:rPr>
          <w:rFonts w:ascii="Arial" w:hAnsi="Arial" w:cs="Arial"/>
          <w:sz w:val="28"/>
          <w:szCs w:val="28"/>
        </w:rPr>
        <w:t xml:space="preserve">+ oxidoreductase; uridine diphosphate glucose </w:t>
      </w:r>
      <w:proofErr w:type="spellStart"/>
      <w:r w:rsidRPr="00B14115">
        <w:rPr>
          <w:rFonts w:ascii="Arial" w:hAnsi="Arial" w:cs="Arial"/>
          <w:sz w:val="28"/>
          <w:szCs w:val="28"/>
        </w:rPr>
        <w:t>dehydro</w:t>
      </w:r>
      <w:proofErr w:type="spellEnd"/>
      <w:r w:rsidRPr="00B14115">
        <w:rPr>
          <w:rFonts w:ascii="Arial" w:hAnsi="Arial" w:cs="Arial"/>
          <w:sz w:val="28"/>
          <w:szCs w:val="28"/>
        </w:rPr>
        <w:t xml:space="preserve"> • • •</w:t>
      </w:r>
    </w:p>
    <w:p w:rsidR="00305E40" w:rsidRDefault="00305E40" w:rsidP="00B1411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3" name="Picture 3" descr="https://cdn.rcsb.org/images/rutgers/dl/1dli/1dli.pdb1-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rcsb.org/images/rutgers/dl/1dli/1dli.pdb1-5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lastRenderedPageBreak/>
        <w:t>KEGG NETWORK</w:t>
      </w: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N00816</w:t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Transport of glucose 6-phosphate</w:t>
      </w:r>
    </w:p>
    <w:tbl>
      <w:tblPr>
        <w:tblW w:w="9750" w:type="dxa"/>
        <w:tblCellSpacing w:w="0" w:type="dxa"/>
        <w:tblBorders>
          <w:bottom w:val="single" w:sz="6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151"/>
        <w:gridCol w:w="8599"/>
      </w:tblGrid>
      <w:tr w:rsidR="00305E40" w:rsidTr="00305E4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05E40" w:rsidRDefault="00305E40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15"/>
              <w:gridCol w:w="6"/>
            </w:tblGrid>
            <w:tr w:rsidR="00305E4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05E40" w:rsidRDefault="00305E40">
                  <w:r>
                    <w:rPr>
                      <w:rStyle w:val="HTMLCode"/>
                      <w:rFonts w:eastAsiaTheme="minorHAnsi"/>
                    </w:rPr>
                    <w:t>N00816                      Network                                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E40" w:rsidRDefault="00305E40">
                  <w:pPr>
                    <w:jc w:val="right"/>
                  </w:pPr>
                </w:p>
              </w:tc>
            </w:tr>
          </w:tbl>
          <w:p w:rsidR="00305E40" w:rsidRDefault="00305E40"/>
        </w:tc>
      </w:tr>
      <w:tr w:rsidR="00305E40" w:rsidTr="00305E4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05E40" w:rsidRDefault="00305E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:rsidR="00305E40" w:rsidRDefault="00305E40" w:rsidP="00305E40">
            <w:r>
              <w:t>Transport of glucose 6-phosphate</w:t>
            </w:r>
          </w:p>
        </w:tc>
      </w:tr>
      <w:tr w:rsidR="00305E40" w:rsidTr="00305E4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05E40" w:rsidRDefault="00305E40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:rsidR="00305E40" w:rsidRDefault="00305E40" w:rsidP="00305E40">
            <w:r>
              <w:t>Glc-6P -- SLC37A4 -&gt; Glc-6P(ER)</w:t>
            </w:r>
          </w:p>
        </w:tc>
      </w:tr>
      <w:tr w:rsidR="00305E40" w:rsidTr="00305E40">
        <w:trPr>
          <w:tblCellSpacing w:w="0" w:type="dxa"/>
        </w:trPr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05E40" w:rsidRDefault="00305E40">
            <w:pPr>
              <w:rPr>
                <w:b/>
                <w:bCs/>
              </w:rPr>
            </w:pPr>
            <w:r>
              <w:rPr>
                <w:b/>
                <w:bCs/>
              </w:rPr>
              <w:t>  Expanded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:rsidR="00305E40" w:rsidRDefault="00305E40" w:rsidP="00305E40">
            <w:r>
              <w:t>C00092 -- 2542 -&gt; C00092</w:t>
            </w:r>
          </w:p>
        </w:tc>
      </w:tr>
      <w:tr w:rsidR="00305E40" w:rsidTr="00305E4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05E40" w:rsidRDefault="00305E40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:rsidR="00305E40" w:rsidRDefault="00305E40" w:rsidP="00305E40">
            <w:hyperlink r:id="rId9" w:history="1">
              <w:r>
                <w:rPr>
                  <w:rStyle w:val="Hyperlink"/>
                </w:rPr>
                <w:t>nt06017</w:t>
              </w:r>
            </w:hyperlink>
            <w:r>
              <w:t xml:space="preserve"> Glycogen metabolism</w:t>
            </w:r>
          </w:p>
        </w:tc>
      </w:tr>
      <w:tr w:rsidR="00305E40" w:rsidTr="00305E4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05E40" w:rsidRDefault="00305E4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:rsidR="00305E40" w:rsidRDefault="00305E40" w:rsidP="00305E40">
            <w:r>
              <w:t>Reference</w:t>
            </w:r>
          </w:p>
        </w:tc>
      </w:tr>
      <w:tr w:rsidR="00305E40" w:rsidTr="00305E4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05E40" w:rsidRDefault="00305E40">
            <w:pPr>
              <w:rPr>
                <w:b/>
                <w:bCs/>
              </w:rPr>
            </w:pPr>
            <w:r>
              <w:rPr>
                <w:b/>
                <w:bCs/>
              </w:rPr>
              <w:t>Gene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3946"/>
            </w:tblGrid>
            <w:tr w:rsidR="00305E40">
              <w:tc>
                <w:tcPr>
                  <w:tcW w:w="0" w:type="auto"/>
                  <w:hideMark/>
                </w:tcPr>
                <w:p w:rsidR="00305E40" w:rsidRDefault="00305E40">
                  <w:hyperlink r:id="rId10" w:history="1">
                    <w:r>
                      <w:rPr>
                        <w:rStyle w:val="Hyperlink"/>
                      </w:rPr>
                      <w:t>2542</w:t>
                    </w:r>
                  </w:hyperlink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E40" w:rsidRDefault="00305E40">
                  <w:r>
                    <w:t>SLC37A4; solute carrier family 37 member 4</w:t>
                  </w:r>
                </w:p>
              </w:tc>
            </w:tr>
          </w:tbl>
          <w:p w:rsidR="00305E40" w:rsidRDefault="00305E40"/>
        </w:tc>
      </w:tr>
      <w:tr w:rsidR="00305E40" w:rsidTr="00305E4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05E40" w:rsidRDefault="00305E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Metabolite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2124"/>
            </w:tblGrid>
            <w:tr w:rsidR="00305E40">
              <w:tc>
                <w:tcPr>
                  <w:tcW w:w="0" w:type="auto"/>
                  <w:hideMark/>
                </w:tcPr>
                <w:p w:rsidR="00305E40" w:rsidRDefault="00305E40">
                  <w:hyperlink r:id="rId11" w:history="1">
                    <w:r>
                      <w:rPr>
                        <w:rStyle w:val="Hyperlink"/>
                      </w:rPr>
                      <w:t>C00092</w:t>
                    </w:r>
                  </w:hyperlink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E40" w:rsidRDefault="00305E40">
                  <w:r>
                    <w:t>D-Glucose 6-phosphate</w:t>
                  </w:r>
                </w:p>
              </w:tc>
            </w:tr>
          </w:tbl>
          <w:p w:rsidR="00305E40" w:rsidRDefault="00305E40"/>
        </w:tc>
      </w:tr>
    </w:tbl>
    <w:p w:rsidR="00305E40" w:rsidRDefault="00305E40" w:rsidP="00B14115">
      <w:pPr>
        <w:rPr>
          <w:rFonts w:ascii="Arial" w:hAnsi="Arial" w:cs="Arial"/>
          <w:sz w:val="28"/>
          <w:szCs w:val="28"/>
        </w:rPr>
      </w:pP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KEGG DISEASE</w:t>
      </w: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H00836</w:t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GLUT1 deficiency syndrome; Glucose transport defect of the blood-brain barrier</w:t>
      </w:r>
    </w:p>
    <w:p w:rsidR="00980FD3" w:rsidRPr="00980FD3" w:rsidRDefault="00980FD3" w:rsidP="00B14115">
      <w:pPr>
        <w:rPr>
          <w:rFonts w:ascii="Arial" w:hAnsi="Arial" w:cs="Arial"/>
          <w:sz w:val="32"/>
          <w:szCs w:val="28"/>
        </w:rPr>
      </w:pPr>
      <w:r w:rsidRPr="00980FD3">
        <w:rPr>
          <w:sz w:val="24"/>
        </w:rPr>
        <w:t xml:space="preserve">GLUT1 deficiency syndrome (GLUT1DS) is an autosomal dominant or recessive inborn error of glucose transport across the blood-brain barrier. The majority of patients carry mutations in the SLC2A1 gene encoding the GLUT1 transporter. Defects in the GLUT1 result in low cerebrospinal fluid (CSF) glucose levels termed </w:t>
      </w:r>
      <w:proofErr w:type="spellStart"/>
      <w:r w:rsidRPr="00980FD3">
        <w:rPr>
          <w:sz w:val="24"/>
        </w:rPr>
        <w:t>hypoglycorrhachia</w:t>
      </w:r>
      <w:proofErr w:type="spellEnd"/>
      <w:r w:rsidRPr="00980FD3">
        <w:rPr>
          <w:sz w:val="24"/>
        </w:rPr>
        <w:t>. Affected individuals present with mental retardation and learning disabilities; also common are ataxia, dystonia, seizures, and acquired microcephaly.</w:t>
      </w: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H01261</w:t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Congenital glucose-galactose malabsorption</w:t>
      </w:r>
    </w:p>
    <w:p w:rsidR="00980FD3" w:rsidRPr="00980FD3" w:rsidRDefault="00980FD3" w:rsidP="00B14115">
      <w:pPr>
        <w:rPr>
          <w:rFonts w:ascii="Arial" w:hAnsi="Arial" w:cs="Arial"/>
          <w:sz w:val="32"/>
          <w:szCs w:val="28"/>
        </w:rPr>
      </w:pPr>
      <w:r w:rsidRPr="00980FD3">
        <w:rPr>
          <w:sz w:val="24"/>
        </w:rPr>
        <w:t xml:space="preserve">Glucose-galactose malabsorption (GGM) is an autosomal recessive disorder that is due to mutations in the gene coding for the sodium-glucose cotransporter (SGLT1/SLC5A1). GGM </w:t>
      </w:r>
      <w:proofErr w:type="gramStart"/>
      <w:r w:rsidRPr="00980FD3">
        <w:rPr>
          <w:sz w:val="24"/>
        </w:rPr>
        <w:t xml:space="preserve">is </w:t>
      </w:r>
      <w:r w:rsidRPr="00980FD3">
        <w:rPr>
          <w:sz w:val="24"/>
        </w:rPr>
        <w:lastRenderedPageBreak/>
        <w:t>characterized</w:t>
      </w:r>
      <w:proofErr w:type="gramEnd"/>
      <w:r w:rsidRPr="00980FD3">
        <w:rPr>
          <w:sz w:val="24"/>
        </w:rPr>
        <w:t xml:space="preserve"> by neonatal onset of watery and acidic diarrhea, which becomes fatal within a few weeks unless glucose and galactose containing nutrients are removed from the diet.</w:t>
      </w: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H01375</w:t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Glucose 6-phosphate dehydrogenase deficiency</w:t>
      </w:r>
    </w:p>
    <w:p w:rsidR="00980FD3" w:rsidRPr="00980FD3" w:rsidRDefault="00980FD3" w:rsidP="00B14115">
      <w:pPr>
        <w:rPr>
          <w:rFonts w:ascii="Arial" w:hAnsi="Arial" w:cs="Arial"/>
          <w:sz w:val="32"/>
          <w:szCs w:val="28"/>
        </w:rPr>
      </w:pPr>
      <w:r w:rsidRPr="00980FD3">
        <w:rPr>
          <w:sz w:val="24"/>
        </w:rPr>
        <w:t xml:space="preserve">Glucose-6-phosphate dehydrogenase (G6PD) deficiency is an X-linked, hereditary disorder due to mutations in the G6PD gene, resulting in protein variants with different levels of enzyme activity, that are associated with a wide range of biochemical and clinical phenotypes. G6PD deficiency is the most common enzymatic disorder in humans. It </w:t>
      </w:r>
      <w:proofErr w:type="gramStart"/>
      <w:r w:rsidRPr="00980FD3">
        <w:rPr>
          <w:sz w:val="24"/>
        </w:rPr>
        <w:t>is estimated</w:t>
      </w:r>
      <w:proofErr w:type="gramEnd"/>
      <w:r w:rsidRPr="00980FD3">
        <w:rPr>
          <w:sz w:val="24"/>
        </w:rPr>
        <w:t xml:space="preserve"> that about 400 million people are affected by this deficiency. More than 400 biochemical variants of G6PD deficiency </w:t>
      </w:r>
      <w:proofErr w:type="gramStart"/>
      <w:r w:rsidRPr="00980FD3">
        <w:rPr>
          <w:sz w:val="24"/>
        </w:rPr>
        <w:t>have since been defined, and grouped into five classes based on enzyme activity and clinical manifestations</w:t>
      </w:r>
      <w:proofErr w:type="gramEnd"/>
      <w:r w:rsidRPr="00980FD3">
        <w:rPr>
          <w:sz w:val="24"/>
        </w:rPr>
        <w:t xml:space="preserve">. The most common clinical manifestations are neonatal jaundice and acute </w:t>
      </w:r>
      <w:proofErr w:type="spellStart"/>
      <w:r w:rsidRPr="00980FD3">
        <w:rPr>
          <w:sz w:val="24"/>
        </w:rPr>
        <w:t>haemolytic</w:t>
      </w:r>
      <w:proofErr w:type="spellEnd"/>
      <w:r w:rsidRPr="00980FD3">
        <w:rPr>
          <w:sz w:val="24"/>
        </w:rPr>
        <w:t xml:space="preserve"> </w:t>
      </w:r>
      <w:proofErr w:type="spellStart"/>
      <w:r w:rsidRPr="00980FD3">
        <w:rPr>
          <w:sz w:val="24"/>
        </w:rPr>
        <w:t>anaemia</w:t>
      </w:r>
      <w:proofErr w:type="spellEnd"/>
      <w:r w:rsidRPr="00980FD3">
        <w:rPr>
          <w:sz w:val="24"/>
        </w:rPr>
        <w:t xml:space="preserve">, which in most patients </w:t>
      </w:r>
      <w:proofErr w:type="gramStart"/>
      <w:r w:rsidRPr="00980FD3">
        <w:rPr>
          <w:sz w:val="24"/>
        </w:rPr>
        <w:t>is triggered</w:t>
      </w:r>
      <w:proofErr w:type="gramEnd"/>
      <w:r w:rsidRPr="00980FD3">
        <w:rPr>
          <w:sz w:val="24"/>
        </w:rPr>
        <w:t xml:space="preserve"> by an exogenous agent. A G6PD-deficient patient lacks the ability to protect red blood cells against oxidative stresses from certain drugs, infections, metabolic conditions, and ingestion of fava beans.</w:t>
      </w:r>
    </w:p>
    <w:p w:rsidR="00980FD3" w:rsidRPr="00B14115" w:rsidRDefault="00980FD3" w:rsidP="00B14115">
      <w:pPr>
        <w:rPr>
          <w:rFonts w:ascii="Arial" w:hAnsi="Arial" w:cs="Arial"/>
          <w:sz w:val="28"/>
          <w:szCs w:val="28"/>
        </w:rPr>
      </w:pP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H01923</w:t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Microcephaly, short stature, and impaired glucose metabolism</w:t>
      </w:r>
    </w:p>
    <w:p w:rsidR="00980FD3" w:rsidRPr="00980FD3" w:rsidRDefault="00980FD3" w:rsidP="00B14115">
      <w:pPr>
        <w:rPr>
          <w:rFonts w:ascii="Arial" w:hAnsi="Arial" w:cs="Arial"/>
          <w:sz w:val="32"/>
          <w:szCs w:val="28"/>
        </w:rPr>
      </w:pPr>
      <w:r w:rsidRPr="00980FD3">
        <w:rPr>
          <w:sz w:val="24"/>
        </w:rPr>
        <w:t xml:space="preserve">Microcephaly, short stature, and impaired glucose metabolism (MSSGM) is a new syndrome of young onset diabetes, short stature and microcephaly with intellectual disability. The causal nonsense mutation in </w:t>
      </w:r>
      <w:proofErr w:type="spellStart"/>
      <w:r w:rsidRPr="00980FD3">
        <w:rPr>
          <w:sz w:val="24"/>
        </w:rPr>
        <w:t>tRNA</w:t>
      </w:r>
      <w:proofErr w:type="spellEnd"/>
      <w:r w:rsidRPr="00980FD3">
        <w:rPr>
          <w:sz w:val="24"/>
        </w:rPr>
        <w:t xml:space="preserve"> </w:t>
      </w:r>
      <w:proofErr w:type="spellStart"/>
      <w:r w:rsidRPr="00980FD3">
        <w:rPr>
          <w:sz w:val="24"/>
        </w:rPr>
        <w:t>methyltransferase</w:t>
      </w:r>
      <w:proofErr w:type="spellEnd"/>
      <w:r w:rsidRPr="00980FD3">
        <w:rPr>
          <w:sz w:val="24"/>
        </w:rPr>
        <w:t xml:space="preserve"> gene TRMT10A </w:t>
      </w:r>
      <w:proofErr w:type="gramStart"/>
      <w:r w:rsidRPr="00980FD3">
        <w:rPr>
          <w:sz w:val="24"/>
        </w:rPr>
        <w:t>has been identified</w:t>
      </w:r>
      <w:proofErr w:type="gramEnd"/>
      <w:r w:rsidRPr="00980FD3">
        <w:rPr>
          <w:sz w:val="24"/>
        </w:rPr>
        <w:t xml:space="preserve">. TRMT10A </w:t>
      </w:r>
      <w:proofErr w:type="gramStart"/>
      <w:r w:rsidRPr="00980FD3">
        <w:rPr>
          <w:sz w:val="24"/>
        </w:rPr>
        <w:t>is ubiquitously expressed but enriched in brain and pancreatic islets, consistent with the tissues affected in this syndrome</w:t>
      </w:r>
      <w:proofErr w:type="gramEnd"/>
      <w:r w:rsidRPr="00980FD3">
        <w:rPr>
          <w:sz w:val="24"/>
        </w:rPr>
        <w:t>. It has also been reported that mutation in the eukaryotic translation initiation factor 2 alpha (eIF2a) phosphatase gene, PPP1R15B, is associated with these symptoms.</w:t>
      </w:r>
    </w:p>
    <w:p w:rsidR="003210E6" w:rsidRDefault="003210E6" w:rsidP="00B14115">
      <w:pPr>
        <w:rPr>
          <w:rFonts w:ascii="Arial" w:hAnsi="Arial" w:cs="Arial"/>
          <w:sz w:val="28"/>
          <w:szCs w:val="28"/>
        </w:rPr>
      </w:pPr>
    </w:p>
    <w:p w:rsidR="00372267" w:rsidRDefault="00372267" w:rsidP="00B14115">
      <w:pPr>
        <w:rPr>
          <w:rFonts w:ascii="Arial" w:hAnsi="Arial" w:cs="Arial"/>
          <w:sz w:val="28"/>
          <w:szCs w:val="28"/>
        </w:rPr>
      </w:pPr>
    </w:p>
    <w:p w:rsidR="00372267" w:rsidRDefault="00372267" w:rsidP="00B14115">
      <w:pPr>
        <w:rPr>
          <w:rFonts w:ascii="Arial" w:hAnsi="Arial" w:cs="Arial"/>
          <w:sz w:val="28"/>
          <w:szCs w:val="28"/>
        </w:rPr>
      </w:pPr>
    </w:p>
    <w:p w:rsidR="00372267" w:rsidRDefault="00372267" w:rsidP="00B14115">
      <w:pPr>
        <w:rPr>
          <w:rFonts w:ascii="Arial" w:hAnsi="Arial" w:cs="Arial"/>
          <w:sz w:val="28"/>
          <w:szCs w:val="28"/>
        </w:rPr>
      </w:pPr>
    </w:p>
    <w:p w:rsidR="00372267" w:rsidRDefault="00372267" w:rsidP="00B14115">
      <w:pPr>
        <w:rPr>
          <w:rFonts w:ascii="Arial" w:hAnsi="Arial" w:cs="Arial"/>
          <w:sz w:val="28"/>
          <w:szCs w:val="28"/>
        </w:rPr>
      </w:pPr>
    </w:p>
    <w:p w:rsidR="00372267" w:rsidRDefault="00372267" w:rsidP="00B14115">
      <w:pPr>
        <w:rPr>
          <w:rFonts w:ascii="Arial" w:hAnsi="Arial" w:cs="Arial"/>
          <w:sz w:val="28"/>
          <w:szCs w:val="28"/>
        </w:rPr>
      </w:pPr>
    </w:p>
    <w:p w:rsidR="00372267" w:rsidRDefault="00372267" w:rsidP="00B1411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KEGG DRUG</w:t>
      </w:r>
    </w:p>
    <w:p w:rsidR="00B14115" w:rsidRP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D00009</w:t>
      </w:r>
    </w:p>
    <w:p w:rsidR="00B14115" w:rsidRDefault="00B14115" w:rsidP="00B14115">
      <w:pPr>
        <w:rPr>
          <w:rFonts w:ascii="Arial" w:hAnsi="Arial" w:cs="Arial"/>
          <w:sz w:val="28"/>
          <w:szCs w:val="28"/>
        </w:rPr>
      </w:pPr>
      <w:r w:rsidRPr="00B14115">
        <w:rPr>
          <w:rFonts w:ascii="Arial" w:hAnsi="Arial" w:cs="Arial"/>
          <w:sz w:val="28"/>
          <w:szCs w:val="28"/>
        </w:rPr>
        <w:t>Glucose (JP17); Purified glucose (JP17); D-Glucose</w:t>
      </w:r>
    </w:p>
    <w:p w:rsidR="00980FD3" w:rsidRPr="00B14115" w:rsidRDefault="00372267" w:rsidP="00B1411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4" name="Picture 4" descr="Glucose (JP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lucose (JP1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FD3" w:rsidRPr="00B14115" w:rsidSect="00B14115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15"/>
    <w:rsid w:val="00305E40"/>
    <w:rsid w:val="003210E6"/>
    <w:rsid w:val="00372267"/>
    <w:rsid w:val="006C164D"/>
    <w:rsid w:val="0079183B"/>
    <w:rsid w:val="009361DF"/>
    <w:rsid w:val="00980FD3"/>
    <w:rsid w:val="009C2796"/>
    <w:rsid w:val="00B14115"/>
    <w:rsid w:val="00DB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0B37E"/>
  <w15:docId w15:val="{EF66465A-7425-4827-8D03-6CA0956A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9C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nome.jp/dbget-bin/get_linkdb?-t+genes+ko:K00012" TargetMode="External"/><Relationship Id="rId11" Type="http://schemas.openxmlformats.org/officeDocument/2006/relationships/hyperlink" Target="https://www.genome.jp/dbget-bin/www_bget?cpd:C00092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genome.jp/dbget-bin/www_bget?hsa:2542" TargetMode="External"/><Relationship Id="rId4" Type="http://schemas.openxmlformats.org/officeDocument/2006/relationships/hyperlink" Target="https://www.genome.jp/dbget-bin/www_bfind_sub?mode=bfind&amp;max_hit=1000&amp;dbkey=kegg&amp;keywords=Glucose" TargetMode="External"/><Relationship Id="rId9" Type="http://schemas.openxmlformats.org/officeDocument/2006/relationships/hyperlink" Target="https://www.genome.jp/kegg-bin/show_network?nt06017+N008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kkbio</dc:creator>
  <cp:lastModifiedBy>Станислав Стоянов</cp:lastModifiedBy>
  <cp:revision>8</cp:revision>
  <dcterms:created xsi:type="dcterms:W3CDTF">2019-12-05T04:25:00Z</dcterms:created>
  <dcterms:modified xsi:type="dcterms:W3CDTF">2020-05-15T10:17:00Z</dcterms:modified>
</cp:coreProperties>
</file>